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附件</w:t>
      </w:r>
    </w:p>
    <w:p>
      <w:pPr>
        <w:rPr>
          <w:rFonts w:hint="eastAsia"/>
          <w:color w:val="auto"/>
        </w:rPr>
      </w:pP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eastAsia="方正小标宋简体"/>
          <w:b w:val="0"/>
          <w:bCs/>
          <w:color w:val="auto"/>
          <w:kern w:val="0"/>
          <w:sz w:val="44"/>
          <w:szCs w:val="44"/>
          <w:highlight w:val="none"/>
        </w:rPr>
      </w:pPr>
      <w:r>
        <w:rPr>
          <w:rFonts w:hint="eastAsia" w:eastAsia="方正小标宋简体"/>
          <w:b w:val="0"/>
          <w:bCs/>
          <w:color w:val="auto"/>
          <w:kern w:val="0"/>
          <w:sz w:val="44"/>
          <w:szCs w:val="44"/>
          <w:highlight w:val="none"/>
        </w:rPr>
        <w:t>贵州省</w:t>
      </w:r>
      <w:r>
        <w:rPr>
          <w:rFonts w:eastAsia="方正小标宋简体"/>
          <w:b w:val="0"/>
          <w:bCs/>
          <w:color w:val="auto"/>
          <w:kern w:val="0"/>
          <w:sz w:val="44"/>
          <w:szCs w:val="44"/>
          <w:highlight w:val="none"/>
        </w:rPr>
        <w:t>成品油流通管理</w:t>
      </w:r>
      <w:r>
        <w:rPr>
          <w:rFonts w:hint="eastAsia" w:eastAsia="方正小标宋简体"/>
          <w:b w:val="0"/>
          <w:bCs/>
          <w:color w:val="auto"/>
          <w:kern w:val="0"/>
          <w:sz w:val="44"/>
          <w:szCs w:val="44"/>
          <w:highlight w:val="none"/>
        </w:rPr>
        <w:t>实施细则</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楷体_GB2312" w:hAnsi="楷体_GB2312" w:eastAsia="楷体_GB2312" w:cs="楷体_GB2312"/>
          <w:b w:val="0"/>
          <w:bCs/>
          <w:color w:val="auto"/>
          <w:kern w:val="0"/>
          <w:sz w:val="32"/>
          <w:szCs w:val="32"/>
          <w:highlight w:val="none"/>
        </w:rPr>
      </w:pPr>
      <w:r>
        <w:rPr>
          <w:rFonts w:hint="eastAsia" w:ascii="楷体_GB2312" w:hAnsi="楷体_GB2312" w:eastAsia="楷体_GB2312" w:cs="楷体_GB2312"/>
          <w:b w:val="0"/>
          <w:bCs/>
          <w:color w:val="auto"/>
          <w:kern w:val="0"/>
          <w:sz w:val="32"/>
          <w:szCs w:val="32"/>
          <w:highlight w:val="none"/>
        </w:rPr>
        <w:t>（</w:t>
      </w:r>
      <w:r>
        <w:rPr>
          <w:rFonts w:hint="eastAsia" w:ascii="楷体_GB2312" w:hAnsi="楷体_GB2312" w:eastAsia="楷体_GB2312" w:cs="楷体_GB2312"/>
          <w:b w:val="0"/>
          <w:bCs/>
          <w:color w:val="auto"/>
          <w:kern w:val="0"/>
          <w:sz w:val="32"/>
          <w:szCs w:val="32"/>
          <w:highlight w:val="none"/>
          <w:lang w:eastAsia="zh-CN"/>
        </w:rPr>
        <w:t>征求意见稿</w:t>
      </w:r>
      <w:r>
        <w:rPr>
          <w:rFonts w:hint="eastAsia" w:ascii="楷体_GB2312" w:hAnsi="楷体_GB2312" w:eastAsia="楷体_GB2312" w:cs="楷体_GB2312"/>
          <w:b w:val="0"/>
          <w:bCs/>
          <w:color w:val="auto"/>
          <w:kern w:val="0"/>
          <w:sz w:val="32"/>
          <w:szCs w:val="32"/>
          <w:highlight w:val="none"/>
        </w:rPr>
        <w:t>）</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eastAsia="黑体"/>
          <w:color w:val="auto"/>
          <w:kern w:val="0"/>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ascii="Times New Roman" w:hAnsi="Times New Roman" w:eastAsia="黑体" w:cs="Times New Roman"/>
          <w:color w:val="auto"/>
          <w:kern w:val="0"/>
          <w:sz w:val="32"/>
          <w:szCs w:val="32"/>
          <w:highlight w:val="none"/>
        </w:rPr>
      </w:pPr>
      <w:r>
        <w:rPr>
          <w:rFonts w:ascii="Times New Roman" w:hAnsi="Times New Roman" w:eastAsia="黑体" w:cs="Times New Roman"/>
          <w:color w:val="auto"/>
          <w:kern w:val="0"/>
          <w:sz w:val="32"/>
          <w:szCs w:val="32"/>
          <w:highlight w:val="none"/>
        </w:rPr>
        <w:t>第一章 总则</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仿宋_GB2312" w:hAnsi="仿宋_GB2312" w:eastAsia="仿宋_GB2312" w:cs="仿宋_GB2312"/>
          <w:color w:val="auto"/>
          <w:sz w:val="32"/>
          <w:szCs w:val="32"/>
          <w:highlight w:val="none"/>
        </w:rPr>
      </w:pPr>
      <w:r>
        <w:rPr>
          <w:rFonts w:ascii="Times New Roman" w:hAnsi="Times New Roman" w:eastAsia="楷体_GB2312" w:cs="Times New Roman"/>
          <w:b/>
          <w:bCs/>
          <w:color w:val="auto"/>
          <w:kern w:val="0"/>
          <w:sz w:val="32"/>
          <w:szCs w:val="32"/>
          <w:highlight w:val="none"/>
        </w:rPr>
        <w:t>第一条【</w:t>
      </w:r>
      <w:r>
        <w:rPr>
          <w:rFonts w:hint="eastAsia" w:ascii="Times New Roman" w:hAnsi="Times New Roman" w:eastAsia="楷体_GB2312" w:cs="Times New Roman"/>
          <w:b/>
          <w:bCs/>
          <w:color w:val="auto"/>
          <w:kern w:val="0"/>
          <w:sz w:val="32"/>
          <w:szCs w:val="32"/>
          <w:highlight w:val="none"/>
        </w:rPr>
        <w:t>制定</w:t>
      </w:r>
      <w:r>
        <w:rPr>
          <w:rFonts w:ascii="Times New Roman" w:hAnsi="Times New Roman" w:eastAsia="楷体_GB2312" w:cs="Times New Roman"/>
          <w:b/>
          <w:bCs/>
          <w:color w:val="auto"/>
          <w:kern w:val="0"/>
          <w:sz w:val="32"/>
          <w:szCs w:val="32"/>
          <w:highlight w:val="none"/>
        </w:rPr>
        <w:t xml:space="preserve">目的】 </w:t>
      </w:r>
      <w:r>
        <w:rPr>
          <w:rFonts w:hint="eastAsia" w:ascii="仿宋_GB2312" w:hAnsi="仿宋_GB2312" w:eastAsia="仿宋_GB2312" w:cs="仿宋_GB2312"/>
          <w:color w:val="auto"/>
          <w:sz w:val="32"/>
          <w:szCs w:val="32"/>
          <w:highlight w:val="none"/>
        </w:rPr>
        <w:t>为加强</w:t>
      </w:r>
      <w:r>
        <w:rPr>
          <w:rFonts w:hint="eastAsia" w:ascii="仿宋_GB2312" w:hAnsi="仿宋_GB2312" w:eastAsia="仿宋_GB2312" w:cs="仿宋_GB2312"/>
          <w:color w:val="auto"/>
          <w:sz w:val="32"/>
          <w:szCs w:val="32"/>
          <w:highlight w:val="none"/>
          <w:lang w:eastAsia="zh-CN"/>
        </w:rPr>
        <w:t>贵州</w:t>
      </w:r>
      <w:r>
        <w:rPr>
          <w:rFonts w:hint="eastAsia" w:ascii="仿宋_GB2312" w:hAnsi="仿宋_GB2312" w:eastAsia="仿宋_GB2312" w:cs="仿宋_GB2312"/>
          <w:color w:val="auto"/>
          <w:sz w:val="32"/>
          <w:szCs w:val="32"/>
          <w:highlight w:val="none"/>
        </w:rPr>
        <w:t>省成品油流通管理，规范企业经营行为，</w:t>
      </w:r>
      <w:r>
        <w:rPr>
          <w:rFonts w:hint="eastAsia" w:ascii="仿宋_GB2312" w:hAnsi="仿宋_GB2312" w:eastAsia="仿宋_GB2312" w:cs="仿宋_GB2312"/>
          <w:color w:val="auto"/>
          <w:sz w:val="32"/>
          <w:szCs w:val="32"/>
          <w:highlight w:val="none"/>
          <w:lang w:eastAsia="zh-CN"/>
        </w:rPr>
        <w:t>加强安全生产，</w:t>
      </w:r>
      <w:r>
        <w:rPr>
          <w:rFonts w:hint="eastAsia" w:ascii="仿宋_GB2312" w:hAnsi="仿宋_GB2312" w:eastAsia="仿宋_GB2312" w:cs="仿宋_GB2312"/>
          <w:color w:val="auto"/>
          <w:sz w:val="32"/>
          <w:szCs w:val="32"/>
          <w:highlight w:val="none"/>
        </w:rPr>
        <w:t>维护流通秩序，保护经营者和消费者合法权益，推动成品油流通高质量发展，根据</w:t>
      </w:r>
      <w:r>
        <w:rPr>
          <w:rFonts w:hint="eastAsia" w:ascii="仿宋_GB2312" w:hAnsi="仿宋_GB2312" w:eastAsia="仿宋_GB2312" w:cs="仿宋_GB2312"/>
          <w:color w:val="auto"/>
          <w:sz w:val="32"/>
          <w:szCs w:val="32"/>
          <w:highlight w:val="none"/>
          <w:lang w:eastAsia="zh-CN"/>
        </w:rPr>
        <w:t>《成品油流通管理办法》（</w:t>
      </w:r>
      <w:r>
        <w:rPr>
          <w:rFonts w:hint="eastAsia" w:ascii="仿宋_GB2312" w:hAnsi="仿宋_GB2312" w:eastAsia="仿宋_GB2312" w:cs="仿宋_GB2312"/>
          <w:color w:val="auto"/>
          <w:sz w:val="32"/>
          <w:szCs w:val="32"/>
          <w:highlight w:val="none"/>
        </w:rPr>
        <w:t>中华人民共和国商务部令2025年第4号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及相关法律法规，结合本省实际，制定本细则。</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仿宋_GB2312" w:hAnsi="仿宋_GB2312" w:eastAsia="仿宋_GB2312" w:cs="仿宋_GB2312"/>
          <w:color w:val="auto"/>
          <w:sz w:val="32"/>
          <w:szCs w:val="32"/>
          <w:highlight w:val="none"/>
        </w:rPr>
      </w:pPr>
      <w:r>
        <w:rPr>
          <w:rFonts w:ascii="Times New Roman" w:hAnsi="Times New Roman" w:eastAsia="楷体_GB2312" w:cs="Times New Roman"/>
          <w:b/>
          <w:bCs/>
          <w:color w:val="auto"/>
          <w:kern w:val="0"/>
          <w:sz w:val="32"/>
          <w:szCs w:val="32"/>
          <w:highlight w:val="none"/>
        </w:rPr>
        <w:t xml:space="preserve">第二条【适用范围】 </w:t>
      </w:r>
      <w:r>
        <w:rPr>
          <w:rFonts w:hint="eastAsia" w:ascii="仿宋_GB2312" w:hAnsi="仿宋_GB2312" w:eastAsia="仿宋_GB2312" w:cs="仿宋_GB2312"/>
          <w:color w:val="auto"/>
          <w:sz w:val="32"/>
          <w:szCs w:val="32"/>
          <w:highlight w:val="none"/>
        </w:rPr>
        <w:t>在贵州省行政区域内从事成品油批发、仓储、零售经营活动，应遵守有关法律法规和本细则。</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仿宋_GB2312" w:hAnsi="仿宋_GB2312" w:eastAsia="仿宋_GB2312" w:cs="仿宋_GB2312"/>
          <w:color w:val="auto"/>
          <w:sz w:val="32"/>
          <w:szCs w:val="32"/>
          <w:highlight w:val="none"/>
        </w:rPr>
      </w:pPr>
      <w:r>
        <w:rPr>
          <w:rFonts w:ascii="Times New Roman" w:hAnsi="Times New Roman" w:eastAsia="楷体_GB2312" w:cs="Times New Roman"/>
          <w:b/>
          <w:bCs/>
          <w:color w:val="auto"/>
          <w:kern w:val="0"/>
          <w:sz w:val="32"/>
          <w:szCs w:val="32"/>
          <w:highlight w:val="none"/>
        </w:rPr>
        <w:t xml:space="preserve">第三条【管理方式】 </w:t>
      </w:r>
      <w:r>
        <w:rPr>
          <w:rFonts w:hint="eastAsia" w:ascii="仿宋_GB2312" w:hAnsi="仿宋_GB2312" w:eastAsia="仿宋_GB2312" w:cs="仿宋_GB2312"/>
          <w:color w:val="auto"/>
          <w:sz w:val="32"/>
          <w:szCs w:val="32"/>
          <w:highlight w:val="none"/>
        </w:rPr>
        <w:t>对成品油批发和仓储经营实施行政备案管理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对成品油零售经营实施准入许可管理。</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仿宋_GB2312" w:hAnsi="仿宋_GB2312" w:eastAsia="仿宋_GB2312" w:cs="仿宋_GB2312"/>
          <w:color w:val="auto"/>
          <w:sz w:val="32"/>
          <w:szCs w:val="32"/>
          <w:highlight w:val="none"/>
        </w:rPr>
      </w:pPr>
      <w:r>
        <w:rPr>
          <w:rFonts w:ascii="Times New Roman" w:hAnsi="Times New Roman" w:eastAsia="楷体_GB2312" w:cs="Times New Roman"/>
          <w:b/>
          <w:bCs/>
          <w:color w:val="auto"/>
          <w:kern w:val="0"/>
          <w:sz w:val="32"/>
          <w:szCs w:val="32"/>
          <w:highlight w:val="none"/>
        </w:rPr>
        <w:t>第四条【</w:t>
      </w:r>
      <w:r>
        <w:rPr>
          <w:rFonts w:hint="eastAsia" w:ascii="Times New Roman" w:hAnsi="Times New Roman" w:eastAsia="楷体_GB2312" w:cs="Times New Roman"/>
          <w:b/>
          <w:bCs/>
          <w:color w:val="auto"/>
          <w:kern w:val="0"/>
          <w:sz w:val="32"/>
          <w:szCs w:val="32"/>
          <w:highlight w:val="none"/>
        </w:rPr>
        <w:t>管理</w:t>
      </w:r>
      <w:r>
        <w:rPr>
          <w:rFonts w:ascii="Times New Roman" w:hAnsi="Times New Roman" w:eastAsia="楷体_GB2312" w:cs="Times New Roman"/>
          <w:b/>
          <w:bCs/>
          <w:color w:val="auto"/>
          <w:kern w:val="0"/>
          <w:sz w:val="32"/>
          <w:szCs w:val="32"/>
          <w:highlight w:val="none"/>
        </w:rPr>
        <w:t>职责】</w:t>
      </w:r>
      <w:r>
        <w:rPr>
          <w:rFonts w:eastAsia="楷体_GB2312"/>
          <w:b/>
          <w:bCs/>
          <w:color w:val="auto"/>
          <w:kern w:val="0"/>
          <w:sz w:val="32"/>
          <w:szCs w:val="32"/>
          <w:highlight w:val="none"/>
        </w:rPr>
        <w:t xml:space="preserve"> </w:t>
      </w:r>
      <w:r>
        <w:rPr>
          <w:rFonts w:hint="eastAsia" w:ascii="仿宋_GB2312" w:hAnsi="仿宋_GB2312" w:eastAsia="仿宋_GB2312" w:cs="仿宋_GB2312"/>
          <w:color w:val="auto"/>
          <w:sz w:val="32"/>
          <w:szCs w:val="32"/>
          <w:highlight w:val="none"/>
          <w:lang w:eastAsia="zh-CN"/>
        </w:rPr>
        <w:t>省商务厅</w:t>
      </w:r>
      <w:r>
        <w:rPr>
          <w:rFonts w:hint="eastAsia" w:ascii="仿宋_GB2312" w:hAnsi="仿宋_GB2312" w:eastAsia="仿宋_GB2312" w:cs="仿宋_GB2312"/>
          <w:color w:val="auto"/>
          <w:sz w:val="32"/>
          <w:szCs w:val="32"/>
          <w:highlight w:val="none"/>
        </w:rPr>
        <w:t>负责全省成品油批发、仓储经营企业备案管理，指导各市（州）成品油流通管理工作。</w:t>
      </w:r>
      <w:r>
        <w:rPr>
          <w:rFonts w:hint="eastAsia" w:ascii="仿宋_GB2312" w:hAnsi="仿宋_GB2312" w:eastAsia="仿宋_GB2312" w:cs="仿宋_GB2312"/>
          <w:color w:val="auto"/>
          <w:sz w:val="32"/>
          <w:szCs w:val="32"/>
          <w:highlight w:val="none"/>
          <w:lang w:eastAsia="zh-CN"/>
        </w:rPr>
        <w:t>各市（州）商务部门</w:t>
      </w:r>
      <w:r>
        <w:rPr>
          <w:rFonts w:hint="eastAsia" w:ascii="仿宋_GB2312" w:hAnsi="仿宋_GB2312" w:eastAsia="仿宋_GB2312" w:cs="仿宋_GB2312"/>
          <w:color w:val="auto"/>
          <w:sz w:val="32"/>
          <w:szCs w:val="32"/>
          <w:highlight w:val="none"/>
        </w:rPr>
        <w:t>（以下简称市级商务部门）为成品油零售经营资格许可的指定部门，负责本行政区域内零售经营资格许可及监督管理。</w:t>
      </w:r>
      <w:r>
        <w:rPr>
          <w:rFonts w:hint="eastAsia" w:ascii="仿宋_GB2312" w:hAnsi="仿宋_GB2312" w:eastAsia="仿宋_GB2312" w:cs="仿宋_GB2312"/>
          <w:color w:val="auto"/>
          <w:sz w:val="32"/>
          <w:szCs w:val="32"/>
          <w:highlight w:val="none"/>
          <w:lang w:eastAsia="zh-CN"/>
        </w:rPr>
        <w:t>市级</w:t>
      </w:r>
      <w:r>
        <w:rPr>
          <w:rFonts w:hint="eastAsia" w:ascii="仿宋_GB2312" w:hAnsi="仿宋_GB2312" w:eastAsia="仿宋_GB2312" w:cs="仿宋_GB2312"/>
          <w:color w:val="auto"/>
          <w:sz w:val="32"/>
          <w:szCs w:val="32"/>
          <w:highlight w:val="none"/>
        </w:rPr>
        <w:t>商务部门执法职能已整合划入综合执法部门的，由综合执法部门负责本细则规定的行政执法工作；未整合的，由商务主管部门负责。</w:t>
      </w:r>
    </w:p>
    <w:p>
      <w:pPr>
        <w:pageBreakBefore w:val="0"/>
        <w:numPr>
          <w:ilvl w:val="0"/>
          <w:numId w:val="0"/>
        </w:numPr>
        <w:kinsoku/>
        <w:topLinePunct w:val="0"/>
        <w:bidi w:val="0"/>
        <w:snapToGrid/>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ascii="Times New Roman" w:hAnsi="Times New Roman" w:eastAsia="楷体_GB2312" w:cs="Times New Roman"/>
          <w:b/>
          <w:color w:val="auto"/>
          <w:kern w:val="0"/>
          <w:sz w:val="32"/>
          <w:szCs w:val="32"/>
          <w:highlight w:val="none"/>
        </w:rPr>
        <w:t>第五条【</w:t>
      </w:r>
      <w:r>
        <w:rPr>
          <w:rFonts w:hint="eastAsia" w:ascii="Times New Roman" w:hAnsi="Times New Roman" w:eastAsia="楷体_GB2312" w:cs="Times New Roman"/>
          <w:b/>
          <w:color w:val="auto"/>
          <w:kern w:val="0"/>
          <w:sz w:val="32"/>
          <w:szCs w:val="32"/>
          <w:highlight w:val="none"/>
          <w:lang w:eastAsia="zh-CN"/>
        </w:rPr>
        <w:t>行业协会</w:t>
      </w:r>
      <w:r>
        <w:rPr>
          <w:rFonts w:ascii="Times New Roman" w:hAnsi="Times New Roman" w:eastAsia="楷体_GB2312" w:cs="Times New Roman"/>
          <w:b/>
          <w:color w:val="auto"/>
          <w:kern w:val="0"/>
          <w:sz w:val="32"/>
          <w:szCs w:val="32"/>
          <w:highlight w:val="none"/>
        </w:rPr>
        <w:t>】</w:t>
      </w:r>
      <w:r>
        <w:rPr>
          <w:rFonts w:hint="default" w:ascii="Times New Roman" w:hAnsi="Times New Roman" w:eastAsia="楷体_GB2312" w:cs="Times New Roman"/>
          <w:b/>
          <w:color w:val="auto"/>
          <w:kern w:val="0"/>
          <w:sz w:val="32"/>
          <w:szCs w:val="32"/>
          <w:highlight w:val="none"/>
          <w:lang w:val="en-US"/>
        </w:rPr>
        <w:t xml:space="preserve"> </w:t>
      </w:r>
      <w:r>
        <w:rPr>
          <w:rFonts w:hint="eastAsia" w:ascii="仿宋_GB2312" w:hAnsi="仿宋_GB2312" w:eastAsia="仿宋_GB2312" w:cs="仿宋_GB2312"/>
          <w:color w:val="auto"/>
          <w:sz w:val="32"/>
          <w:szCs w:val="32"/>
          <w:highlight w:val="none"/>
        </w:rPr>
        <w:t>支持贵州省成品油流通行业协会发挥自律作用，建立健全行业经营规范和信用评价体系，开展从业人员培训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权益保护、纠纷处理、企业信用评价、技能培训、行业自律、职业道德建设等方面的作用</w:t>
      </w:r>
      <w:r>
        <w:rPr>
          <w:rFonts w:hint="eastAsia" w:ascii="仿宋_GB2312" w:hAnsi="仿宋_GB2312" w:eastAsia="仿宋_GB2312" w:cs="仿宋_GB2312"/>
          <w:color w:val="auto"/>
          <w:sz w:val="32"/>
          <w:szCs w:val="32"/>
          <w:highlight w:val="none"/>
        </w:rPr>
        <w:t>，促进行业健康发展。</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ascii="Times New Roman" w:hAnsi="Times New Roman" w:eastAsia="黑体" w:cs="Times New Roman"/>
          <w:color w:val="auto"/>
          <w:kern w:val="0"/>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ascii="Times New Roman" w:hAnsi="Times New Roman" w:eastAsia="黑体" w:cs="Times New Roman"/>
          <w:color w:val="auto"/>
          <w:kern w:val="0"/>
          <w:sz w:val="32"/>
          <w:szCs w:val="32"/>
          <w:highlight w:val="none"/>
        </w:rPr>
      </w:pPr>
      <w:r>
        <w:rPr>
          <w:rFonts w:ascii="Times New Roman" w:hAnsi="Times New Roman" w:eastAsia="黑体" w:cs="Times New Roman"/>
          <w:color w:val="auto"/>
          <w:kern w:val="0"/>
          <w:sz w:val="32"/>
          <w:szCs w:val="32"/>
          <w:highlight w:val="none"/>
        </w:rPr>
        <w:t>第</w:t>
      </w:r>
      <w:r>
        <w:rPr>
          <w:rFonts w:hint="eastAsia" w:ascii="Times New Roman" w:hAnsi="Times New Roman" w:eastAsia="黑体" w:cs="Times New Roman"/>
          <w:color w:val="auto"/>
          <w:kern w:val="0"/>
          <w:sz w:val="32"/>
          <w:szCs w:val="32"/>
          <w:highlight w:val="none"/>
        </w:rPr>
        <w:t>二</w:t>
      </w:r>
      <w:r>
        <w:rPr>
          <w:rFonts w:ascii="Times New Roman" w:hAnsi="Times New Roman" w:eastAsia="黑体" w:cs="Times New Roman"/>
          <w:color w:val="auto"/>
          <w:kern w:val="0"/>
          <w:sz w:val="32"/>
          <w:szCs w:val="32"/>
          <w:highlight w:val="none"/>
        </w:rPr>
        <w:t xml:space="preserve">章 </w:t>
      </w:r>
      <w:r>
        <w:rPr>
          <w:rFonts w:hint="eastAsia" w:ascii="Times New Roman" w:hAnsi="Times New Roman" w:eastAsia="黑体" w:cs="Times New Roman"/>
          <w:color w:val="auto"/>
          <w:kern w:val="0"/>
          <w:sz w:val="32"/>
          <w:szCs w:val="32"/>
          <w:highlight w:val="none"/>
        </w:rPr>
        <w:t>备案</w:t>
      </w:r>
      <w:r>
        <w:rPr>
          <w:rFonts w:hint="eastAsia" w:ascii="Times New Roman" w:hAnsi="Times New Roman" w:eastAsia="黑体" w:cs="Times New Roman"/>
          <w:color w:val="auto"/>
          <w:kern w:val="0"/>
          <w:sz w:val="32"/>
          <w:szCs w:val="32"/>
          <w:highlight w:val="none"/>
          <w:lang w:eastAsia="zh-CN"/>
        </w:rPr>
        <w:t>管理</w:t>
      </w:r>
      <w:r>
        <w:rPr>
          <w:rFonts w:hint="eastAsia" w:ascii="Times New Roman" w:hAnsi="Times New Roman" w:eastAsia="黑体" w:cs="Times New Roman"/>
          <w:color w:val="auto"/>
          <w:kern w:val="0"/>
          <w:sz w:val="32"/>
          <w:szCs w:val="32"/>
          <w:highlight w:val="none"/>
        </w:rPr>
        <w:t>和</w:t>
      </w:r>
      <w:r>
        <w:rPr>
          <w:rFonts w:hint="eastAsia" w:ascii="Times New Roman" w:hAnsi="Times New Roman" w:eastAsia="黑体" w:cs="Times New Roman"/>
          <w:color w:val="auto"/>
          <w:kern w:val="0"/>
          <w:sz w:val="32"/>
          <w:szCs w:val="32"/>
          <w:highlight w:val="none"/>
          <w:lang w:eastAsia="zh-CN"/>
        </w:rPr>
        <w:t>经营资格</w:t>
      </w:r>
      <w:r>
        <w:rPr>
          <w:rFonts w:hint="eastAsia" w:ascii="Times New Roman" w:hAnsi="Times New Roman" w:eastAsia="黑体" w:cs="Times New Roman"/>
          <w:color w:val="auto"/>
          <w:kern w:val="0"/>
          <w:sz w:val="32"/>
          <w:szCs w:val="32"/>
          <w:highlight w:val="none"/>
        </w:rPr>
        <w:t>许可</w:t>
      </w:r>
    </w:p>
    <w:p>
      <w:pPr>
        <w:keepNext w:val="0"/>
        <w:keepLines w:val="0"/>
        <w:pageBreakBefore w:val="0"/>
        <w:widowControl w:val="0"/>
        <w:kinsoku/>
        <w:wordWrap/>
        <w:overflowPunct/>
        <w:topLinePunct w:val="0"/>
        <w:bidi w:val="0"/>
        <w:snapToGrid/>
        <w:spacing w:line="560" w:lineRule="exact"/>
        <w:ind w:firstLine="643" w:firstLineChars="200"/>
        <w:textAlignment w:val="auto"/>
        <w:rPr>
          <w:rFonts w:hint="eastAsia" w:ascii="仿宋_GB2312" w:hAnsi="仿宋_GB2312" w:eastAsia="仿宋_GB2312" w:cs="仿宋_GB2312"/>
          <w:color w:val="auto"/>
          <w:sz w:val="32"/>
          <w:szCs w:val="32"/>
          <w:highlight w:val="none"/>
          <w:lang w:eastAsia="zh-CN"/>
        </w:rPr>
      </w:pPr>
      <w:r>
        <w:rPr>
          <w:rFonts w:ascii="Times New Roman" w:hAnsi="Times New Roman" w:eastAsia="楷体_GB2312" w:cs="Times New Roman"/>
          <w:b/>
          <w:bCs/>
          <w:color w:val="auto"/>
          <w:kern w:val="0"/>
          <w:sz w:val="32"/>
          <w:szCs w:val="32"/>
          <w:highlight w:val="none"/>
        </w:rPr>
        <w:t>第</w:t>
      </w:r>
      <w:r>
        <w:rPr>
          <w:rFonts w:hint="eastAsia" w:ascii="Times New Roman" w:hAnsi="Times New Roman" w:eastAsia="楷体_GB2312" w:cs="Times New Roman"/>
          <w:b/>
          <w:bCs/>
          <w:color w:val="auto"/>
          <w:kern w:val="0"/>
          <w:sz w:val="32"/>
          <w:szCs w:val="32"/>
          <w:highlight w:val="none"/>
          <w:lang w:eastAsia="zh-CN"/>
        </w:rPr>
        <w:t>六</w:t>
      </w:r>
      <w:r>
        <w:rPr>
          <w:rFonts w:ascii="Times New Roman" w:hAnsi="Times New Roman" w:eastAsia="楷体_GB2312" w:cs="Times New Roman"/>
          <w:b/>
          <w:bCs/>
          <w:color w:val="auto"/>
          <w:kern w:val="0"/>
          <w:sz w:val="32"/>
          <w:szCs w:val="32"/>
          <w:highlight w:val="none"/>
        </w:rPr>
        <w:t>条【</w:t>
      </w:r>
      <w:r>
        <w:rPr>
          <w:rFonts w:hint="eastAsia" w:ascii="Times New Roman" w:hAnsi="Times New Roman" w:eastAsia="楷体_GB2312" w:cs="Times New Roman"/>
          <w:b/>
          <w:bCs/>
          <w:color w:val="auto"/>
          <w:kern w:val="0"/>
          <w:sz w:val="32"/>
          <w:szCs w:val="32"/>
          <w:highlight w:val="none"/>
          <w:lang w:eastAsia="zh-CN"/>
        </w:rPr>
        <w:t>行政</w:t>
      </w:r>
      <w:r>
        <w:rPr>
          <w:rFonts w:hint="eastAsia" w:ascii="Times New Roman" w:hAnsi="Times New Roman" w:eastAsia="楷体_GB2312" w:cs="Times New Roman"/>
          <w:b/>
          <w:bCs/>
          <w:color w:val="auto"/>
          <w:kern w:val="0"/>
          <w:sz w:val="32"/>
          <w:szCs w:val="32"/>
          <w:highlight w:val="none"/>
        </w:rPr>
        <w:t>备案</w:t>
      </w:r>
      <w:r>
        <w:rPr>
          <w:rFonts w:hint="eastAsia" w:ascii="Times New Roman" w:hAnsi="Times New Roman" w:eastAsia="楷体_GB2312" w:cs="Times New Roman"/>
          <w:b/>
          <w:bCs/>
          <w:color w:val="auto"/>
          <w:kern w:val="0"/>
          <w:sz w:val="32"/>
          <w:szCs w:val="32"/>
          <w:highlight w:val="none"/>
          <w:lang w:eastAsia="zh-CN"/>
        </w:rPr>
        <w:t>实施</w:t>
      </w:r>
      <w:r>
        <w:rPr>
          <w:rFonts w:ascii="Times New Roman" w:hAnsi="Times New Roman" w:eastAsia="楷体_GB2312" w:cs="Times New Roman"/>
          <w:b/>
          <w:bCs/>
          <w:color w:val="auto"/>
          <w:kern w:val="0"/>
          <w:sz w:val="32"/>
          <w:szCs w:val="32"/>
          <w:highlight w:val="none"/>
        </w:rPr>
        <w:t xml:space="preserve">】 </w:t>
      </w:r>
      <w:r>
        <w:rPr>
          <w:rFonts w:hint="eastAsia" w:ascii="仿宋_GB2312" w:hAnsi="仿宋_GB2312" w:eastAsia="仿宋_GB2312" w:cs="仿宋_GB2312"/>
          <w:color w:val="auto"/>
          <w:sz w:val="32"/>
          <w:szCs w:val="32"/>
          <w:highlight w:val="none"/>
          <w:lang w:eastAsia="zh-CN"/>
        </w:rPr>
        <w:t>省商务厅按照商务部制定并公布的</w:t>
      </w:r>
      <w:r>
        <w:rPr>
          <w:rFonts w:hint="eastAsia" w:ascii="仿宋_GB2312" w:hAnsi="仿宋_GB2312" w:eastAsia="仿宋_GB2312" w:cs="仿宋_GB2312"/>
          <w:color w:val="auto"/>
          <w:sz w:val="32"/>
          <w:szCs w:val="32"/>
          <w:highlight w:val="none"/>
          <w:lang w:val="en-US" w:eastAsia="zh-CN"/>
        </w:rPr>
        <w:t>全国</w:t>
      </w:r>
      <w:r>
        <w:rPr>
          <w:rFonts w:hint="eastAsia" w:ascii="仿宋_GB2312" w:hAnsi="仿宋_GB2312" w:eastAsia="仿宋_GB2312" w:cs="仿宋_GB2312"/>
          <w:color w:val="auto"/>
          <w:sz w:val="32"/>
          <w:szCs w:val="32"/>
          <w:highlight w:val="none"/>
          <w:lang w:eastAsia="zh-CN"/>
        </w:rPr>
        <w:t>统一成品油批发、仓储经营企业备案操作指南。</w:t>
      </w:r>
      <w:r>
        <w:rPr>
          <w:rFonts w:hint="eastAsia" w:eastAsia="仿宋_GB2312"/>
          <w:color w:val="auto"/>
          <w:kern w:val="0"/>
          <w:sz w:val="32"/>
          <w:szCs w:val="32"/>
          <w:highlight w:val="none"/>
        </w:rPr>
        <w:t>对</w:t>
      </w:r>
      <w:r>
        <w:rPr>
          <w:rFonts w:eastAsia="仿宋_GB2312"/>
          <w:color w:val="auto"/>
          <w:kern w:val="0"/>
          <w:sz w:val="32"/>
          <w:szCs w:val="32"/>
          <w:highlight w:val="none"/>
        </w:rPr>
        <w:t>成品油批发</w:t>
      </w:r>
      <w:r>
        <w:rPr>
          <w:rFonts w:hint="eastAsia" w:eastAsia="仿宋_GB2312"/>
          <w:color w:val="auto"/>
          <w:kern w:val="0"/>
          <w:sz w:val="32"/>
          <w:szCs w:val="32"/>
          <w:highlight w:val="none"/>
        </w:rPr>
        <w:t>、</w:t>
      </w:r>
      <w:r>
        <w:rPr>
          <w:rFonts w:eastAsia="仿宋_GB2312"/>
          <w:color w:val="auto"/>
          <w:kern w:val="0"/>
          <w:sz w:val="32"/>
          <w:szCs w:val="32"/>
          <w:highlight w:val="none"/>
        </w:rPr>
        <w:t>仓储经营企业</w:t>
      </w:r>
      <w:r>
        <w:rPr>
          <w:rFonts w:hint="eastAsia" w:eastAsia="仿宋_GB2312"/>
          <w:color w:val="auto"/>
          <w:kern w:val="0"/>
          <w:sz w:val="32"/>
          <w:szCs w:val="32"/>
          <w:highlight w:val="none"/>
        </w:rPr>
        <w:t>提交的备案申请材料进行核实并及时予以办理</w:t>
      </w:r>
      <w:r>
        <w:rPr>
          <w:rFonts w:hint="eastAsia" w:eastAsia="仿宋_GB2312"/>
          <w:color w:val="auto"/>
          <w:kern w:val="0"/>
          <w:sz w:val="32"/>
          <w:szCs w:val="32"/>
          <w:highlight w:val="none"/>
          <w:lang w:eastAsia="zh-CN"/>
        </w:rPr>
        <w:t>。</w:t>
      </w:r>
    </w:p>
    <w:p>
      <w:pPr>
        <w:pageBreakBefore w:val="0"/>
        <w:numPr>
          <w:ilvl w:val="0"/>
          <w:numId w:val="0"/>
        </w:numPr>
        <w:kinsoku/>
        <w:topLinePunct w:val="0"/>
        <w:bidi w:val="0"/>
        <w:snapToGrid/>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eastAsia="楷体_GB2312"/>
          <w:b/>
          <w:bCs/>
          <w:color w:val="auto"/>
          <w:kern w:val="0"/>
          <w:sz w:val="32"/>
          <w:szCs w:val="32"/>
          <w:highlight w:val="none"/>
        </w:rPr>
        <w:t>第</w:t>
      </w:r>
      <w:r>
        <w:rPr>
          <w:rFonts w:hint="eastAsia" w:eastAsia="楷体_GB2312"/>
          <w:b/>
          <w:bCs/>
          <w:color w:val="auto"/>
          <w:kern w:val="0"/>
          <w:sz w:val="32"/>
          <w:szCs w:val="32"/>
          <w:highlight w:val="none"/>
          <w:lang w:eastAsia="zh-CN"/>
        </w:rPr>
        <w:t>七</w:t>
      </w:r>
      <w:r>
        <w:rPr>
          <w:rFonts w:eastAsia="楷体_GB2312"/>
          <w:b/>
          <w:bCs/>
          <w:color w:val="auto"/>
          <w:kern w:val="0"/>
          <w:sz w:val="32"/>
          <w:szCs w:val="32"/>
          <w:highlight w:val="none"/>
        </w:rPr>
        <w:t>条【</w:t>
      </w:r>
      <w:r>
        <w:rPr>
          <w:rFonts w:hint="eastAsia" w:eastAsia="楷体_GB2312"/>
          <w:b/>
          <w:bCs/>
          <w:color w:val="auto"/>
          <w:kern w:val="0"/>
          <w:sz w:val="32"/>
          <w:szCs w:val="32"/>
          <w:highlight w:val="none"/>
          <w:lang w:eastAsia="zh-CN"/>
        </w:rPr>
        <w:t>批发、仓储经营企业备案</w:t>
      </w:r>
      <w:r>
        <w:rPr>
          <w:rFonts w:eastAsia="楷体_GB2312"/>
          <w:b/>
          <w:bCs/>
          <w:color w:val="auto"/>
          <w:kern w:val="0"/>
          <w:sz w:val="32"/>
          <w:szCs w:val="32"/>
          <w:highlight w:val="none"/>
        </w:rPr>
        <w:t>】</w:t>
      </w:r>
      <w:r>
        <w:rPr>
          <w:rFonts w:hint="eastAsia" w:ascii="仿宋_GB2312" w:hAnsi="仿宋_GB2312" w:eastAsia="仿宋_GB2312" w:cs="仿宋_GB2312"/>
          <w:color w:val="auto"/>
          <w:sz w:val="32"/>
          <w:szCs w:val="32"/>
          <w:highlight w:val="none"/>
        </w:rPr>
        <w:t>企业从事成品油批发、仓储经营的，持经营范围包含成品油批发仓储的营业执照、危险化学品经营许可证或港口经营许可证（含港口危险货物作业附证及相关附表），通过“全国石油市场管理应用”向</w:t>
      </w:r>
      <w:r>
        <w:rPr>
          <w:rFonts w:hint="eastAsia" w:ascii="仿宋_GB2312" w:hAnsi="仿宋_GB2312" w:eastAsia="仿宋_GB2312" w:cs="仿宋_GB2312"/>
          <w:color w:val="auto"/>
          <w:sz w:val="32"/>
          <w:szCs w:val="32"/>
          <w:highlight w:val="none"/>
          <w:lang w:eastAsia="zh-CN"/>
        </w:rPr>
        <w:t>省商务厅</w:t>
      </w:r>
      <w:r>
        <w:rPr>
          <w:rFonts w:hint="eastAsia" w:ascii="仿宋_GB2312" w:hAnsi="仿宋_GB2312" w:eastAsia="仿宋_GB2312" w:cs="仿宋_GB2312"/>
          <w:color w:val="auto"/>
          <w:sz w:val="32"/>
          <w:szCs w:val="32"/>
          <w:highlight w:val="none"/>
        </w:rPr>
        <w:t>进行备案。企业应当对其提交的备案材料的真实性、合法性和完整性负责。备案材料不齐全的，应一次性告知企业补正，明确补正材料的提交方式和期限。省商务</w:t>
      </w:r>
      <w:r>
        <w:rPr>
          <w:rFonts w:hint="eastAsia" w:ascii="仿宋_GB2312" w:hAnsi="仿宋_GB2312" w:eastAsia="仿宋_GB2312" w:cs="仿宋_GB2312"/>
          <w:color w:val="auto"/>
          <w:sz w:val="32"/>
          <w:szCs w:val="32"/>
          <w:highlight w:val="none"/>
          <w:lang w:eastAsia="zh-CN"/>
        </w:rPr>
        <w:t>厅</w:t>
      </w:r>
      <w:r>
        <w:rPr>
          <w:rFonts w:hint="eastAsia" w:ascii="仿宋_GB2312" w:hAnsi="仿宋_GB2312" w:eastAsia="仿宋_GB2312" w:cs="仿宋_GB2312"/>
          <w:color w:val="auto"/>
          <w:sz w:val="32"/>
          <w:szCs w:val="32"/>
          <w:highlight w:val="none"/>
        </w:rPr>
        <w:t>在收到备案申请后，应在</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个工作日内完成材料核对。</w:t>
      </w:r>
      <w:r>
        <w:rPr>
          <w:rFonts w:hint="eastAsia" w:eastAsia="仿宋_GB2312"/>
          <w:color w:val="auto"/>
          <w:kern w:val="0"/>
          <w:sz w:val="32"/>
          <w:szCs w:val="32"/>
          <w:highlight w:val="none"/>
        </w:rPr>
        <w:t>生成企业备案信息确认表并将备案企业名单推送</w:t>
      </w:r>
      <w:r>
        <w:rPr>
          <w:rFonts w:hint="eastAsia" w:eastAsia="仿宋_GB2312"/>
          <w:color w:val="auto"/>
          <w:kern w:val="0"/>
          <w:sz w:val="32"/>
          <w:szCs w:val="32"/>
          <w:highlight w:val="none"/>
          <w:lang w:eastAsia="zh-CN"/>
        </w:rPr>
        <w:t>税务、</w:t>
      </w:r>
      <w:r>
        <w:rPr>
          <w:rFonts w:hint="eastAsia" w:ascii="仿宋_GB2312" w:hAnsi="仿宋_GB2312" w:eastAsia="仿宋_GB2312" w:cs="仿宋_GB2312"/>
          <w:color w:val="auto"/>
          <w:kern w:val="2"/>
          <w:sz w:val="32"/>
          <w:szCs w:val="32"/>
          <w:highlight w:val="none"/>
          <w:lang w:eastAsia="zh-CN"/>
        </w:rPr>
        <w:t>应急</w:t>
      </w:r>
      <w:r>
        <w:rPr>
          <w:rFonts w:hint="eastAsia" w:eastAsia="仿宋_GB2312"/>
          <w:color w:val="auto"/>
          <w:kern w:val="0"/>
          <w:sz w:val="32"/>
          <w:szCs w:val="32"/>
          <w:highlight w:val="none"/>
        </w:rPr>
        <w:t>部门</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topLinePunct w:val="0"/>
        <w:bidi w:val="0"/>
        <w:snapToGrid/>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eastAsia="楷体_GB2312"/>
          <w:b/>
          <w:bCs/>
          <w:color w:val="auto"/>
          <w:kern w:val="0"/>
          <w:sz w:val="32"/>
          <w:szCs w:val="32"/>
          <w:highlight w:val="none"/>
        </w:rPr>
        <w:t>第</w:t>
      </w:r>
      <w:r>
        <w:rPr>
          <w:rFonts w:hint="eastAsia" w:eastAsia="楷体_GB2312"/>
          <w:b/>
          <w:bCs/>
          <w:color w:val="auto"/>
          <w:kern w:val="0"/>
          <w:sz w:val="32"/>
          <w:szCs w:val="32"/>
          <w:highlight w:val="none"/>
          <w:lang w:eastAsia="zh-CN"/>
        </w:rPr>
        <w:t>八</w:t>
      </w:r>
      <w:r>
        <w:rPr>
          <w:rFonts w:eastAsia="楷体_GB2312"/>
          <w:b/>
          <w:bCs/>
          <w:color w:val="auto"/>
          <w:kern w:val="0"/>
          <w:sz w:val="32"/>
          <w:szCs w:val="32"/>
          <w:highlight w:val="none"/>
        </w:rPr>
        <w:t>条【</w:t>
      </w:r>
      <w:r>
        <w:rPr>
          <w:rFonts w:hint="eastAsia" w:eastAsia="楷体_GB2312"/>
          <w:b/>
          <w:bCs/>
          <w:color w:val="auto"/>
          <w:kern w:val="0"/>
          <w:sz w:val="32"/>
          <w:szCs w:val="32"/>
          <w:highlight w:val="none"/>
          <w:lang w:eastAsia="zh-CN"/>
        </w:rPr>
        <w:t>备案变更与注销</w:t>
      </w:r>
      <w:r>
        <w:rPr>
          <w:rFonts w:eastAsia="楷体_GB2312"/>
          <w:b/>
          <w:bCs/>
          <w:color w:val="auto"/>
          <w:kern w:val="0"/>
          <w:sz w:val="32"/>
          <w:szCs w:val="32"/>
          <w:highlight w:val="none"/>
        </w:rPr>
        <w:t>】</w:t>
      </w:r>
      <w:r>
        <w:rPr>
          <w:rFonts w:hint="eastAsia" w:eastAsia="楷体_GB2312"/>
          <w:b/>
          <w:bCs/>
          <w:color w:val="auto"/>
          <w:kern w:val="0"/>
          <w:sz w:val="32"/>
          <w:szCs w:val="32"/>
          <w:highlight w:val="none"/>
        </w:rPr>
        <w:t xml:space="preserve"> </w:t>
      </w:r>
      <w:r>
        <w:rPr>
          <w:rFonts w:hint="eastAsia" w:ascii="仿宋_GB2312" w:hAnsi="仿宋_GB2312" w:eastAsia="仿宋_GB2312" w:cs="仿宋_GB2312"/>
          <w:color w:val="auto"/>
          <w:sz w:val="32"/>
          <w:szCs w:val="32"/>
          <w:highlight w:val="none"/>
        </w:rPr>
        <w:t>企业备案信息发生变化的，应当在自信息变化之日起30日内，通过“全国石油市场管理应用”履行备案变更手续。</w:t>
      </w:r>
      <w:r>
        <w:rPr>
          <w:rFonts w:hint="eastAsia" w:ascii="仿宋_GB2312" w:hAnsi="仿宋_GB2312" w:eastAsia="仿宋_GB2312" w:cs="仿宋_GB2312"/>
          <w:color w:val="auto"/>
          <w:sz w:val="32"/>
          <w:szCs w:val="32"/>
          <w:highlight w:val="none"/>
          <w:lang w:eastAsia="zh-CN"/>
        </w:rPr>
        <w:t>省商务厅</w:t>
      </w:r>
      <w:r>
        <w:rPr>
          <w:rFonts w:hint="eastAsia" w:ascii="仿宋_GB2312" w:hAnsi="仿宋_GB2312" w:eastAsia="仿宋_GB2312" w:cs="仿宋_GB2312"/>
          <w:color w:val="auto"/>
          <w:sz w:val="32"/>
          <w:szCs w:val="32"/>
          <w:highlight w:val="none"/>
        </w:rPr>
        <w:t>收到变更申请后，及时进行审核，对符合要求的予以变更。经备案的成品油批发、仓储经营企业，相关证照失效的、企业依法终止的或不再从事相关经营活动的，应及时通过“全国石油市场管理应用”履行备案注销手续。</w:t>
      </w:r>
      <w:r>
        <w:rPr>
          <w:rFonts w:hint="eastAsia" w:ascii="仿宋_GB2312" w:hAnsi="仿宋_GB2312" w:eastAsia="仿宋_GB2312" w:cs="仿宋_GB2312"/>
          <w:color w:val="auto"/>
          <w:sz w:val="32"/>
          <w:szCs w:val="32"/>
          <w:highlight w:val="none"/>
          <w:lang w:eastAsia="zh-CN"/>
        </w:rPr>
        <w:t>省</w:t>
      </w:r>
      <w:r>
        <w:rPr>
          <w:rFonts w:hint="eastAsia" w:ascii="仿宋_GB2312" w:hAnsi="仿宋_GB2312" w:eastAsia="仿宋_GB2312" w:cs="仿宋_GB2312"/>
          <w:color w:val="auto"/>
          <w:sz w:val="32"/>
          <w:szCs w:val="32"/>
          <w:highlight w:val="none"/>
        </w:rPr>
        <w:t>商务主</w:t>
      </w:r>
      <w:r>
        <w:rPr>
          <w:rFonts w:hint="eastAsia" w:ascii="仿宋_GB2312" w:hAnsi="仿宋_GB2312" w:eastAsia="仿宋_GB2312" w:cs="仿宋_GB2312"/>
          <w:color w:val="auto"/>
          <w:sz w:val="32"/>
          <w:szCs w:val="32"/>
          <w:highlight w:val="none"/>
          <w:lang w:eastAsia="zh-CN"/>
        </w:rPr>
        <w:t>厅</w:t>
      </w:r>
      <w:r>
        <w:rPr>
          <w:rFonts w:hint="eastAsia" w:ascii="仿宋_GB2312" w:hAnsi="仿宋_GB2312" w:eastAsia="仿宋_GB2312" w:cs="仿宋_GB2312"/>
          <w:color w:val="auto"/>
          <w:sz w:val="32"/>
          <w:szCs w:val="32"/>
          <w:highlight w:val="none"/>
        </w:rPr>
        <w:t>对注销申请进行核实后，完成注销操作，并将信息推送至</w:t>
      </w:r>
      <w:r>
        <w:rPr>
          <w:rFonts w:hint="eastAsia" w:ascii="仿宋_GB2312" w:hAnsi="仿宋_GB2312" w:eastAsia="仿宋_GB2312" w:cs="仿宋_GB2312"/>
          <w:color w:val="auto"/>
          <w:sz w:val="32"/>
          <w:szCs w:val="32"/>
          <w:highlight w:val="none"/>
          <w:lang w:eastAsia="zh-CN"/>
        </w:rPr>
        <w:t>税务</w:t>
      </w:r>
      <w:r>
        <w:rPr>
          <w:rFonts w:hint="eastAsia" w:ascii="仿宋_GB2312" w:hAnsi="仿宋_GB2312" w:eastAsia="仿宋_GB2312" w:cs="仿宋_GB2312"/>
          <w:color w:val="auto"/>
          <w:sz w:val="32"/>
          <w:szCs w:val="32"/>
          <w:highlight w:val="none"/>
        </w:rPr>
        <w:t>部门。备案回执有效期一般为3年，且不应超过危险化学品经营许可证或港口经营许可证的有效期。有效期届满自动失效。企业如需继续经营，应在有效期届满前30日，按照备案流程重新申请备案。</w:t>
      </w:r>
    </w:p>
    <w:p>
      <w:pPr>
        <w:keepNext w:val="0"/>
        <w:keepLines w:val="0"/>
        <w:pageBreakBefore w:val="0"/>
        <w:widowControl w:val="0"/>
        <w:kinsoku/>
        <w:wordWrap/>
        <w:overflowPunct/>
        <w:topLinePunct w:val="0"/>
        <w:bidi w:val="0"/>
        <w:snapToGrid/>
        <w:spacing w:line="560" w:lineRule="exact"/>
        <w:ind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eastAsia="楷体_GB2312"/>
          <w:b/>
          <w:bCs/>
          <w:color w:val="auto"/>
          <w:kern w:val="0"/>
          <w:sz w:val="32"/>
          <w:szCs w:val="32"/>
          <w:highlight w:val="none"/>
        </w:rPr>
        <w:t>第</w:t>
      </w:r>
      <w:r>
        <w:rPr>
          <w:rFonts w:hint="eastAsia" w:eastAsia="楷体_GB2312"/>
          <w:b/>
          <w:bCs/>
          <w:color w:val="auto"/>
          <w:kern w:val="0"/>
          <w:sz w:val="32"/>
          <w:szCs w:val="32"/>
          <w:highlight w:val="none"/>
          <w:lang w:eastAsia="zh-CN"/>
        </w:rPr>
        <w:t>九</w:t>
      </w:r>
      <w:r>
        <w:rPr>
          <w:rFonts w:eastAsia="楷体_GB2312"/>
          <w:b/>
          <w:bCs/>
          <w:color w:val="auto"/>
          <w:kern w:val="0"/>
          <w:sz w:val="32"/>
          <w:szCs w:val="32"/>
          <w:highlight w:val="none"/>
        </w:rPr>
        <w:t>条【零售</w:t>
      </w:r>
      <w:r>
        <w:rPr>
          <w:rFonts w:hint="eastAsia" w:eastAsia="楷体_GB2312"/>
          <w:b/>
          <w:bCs/>
          <w:color w:val="auto"/>
          <w:kern w:val="0"/>
          <w:sz w:val="32"/>
          <w:szCs w:val="32"/>
          <w:highlight w:val="none"/>
          <w:lang w:eastAsia="zh-CN"/>
        </w:rPr>
        <w:t>经营资格申请</w:t>
      </w:r>
      <w:r>
        <w:rPr>
          <w:rFonts w:eastAsia="楷体_GB2312"/>
          <w:b/>
          <w:bCs/>
          <w:color w:val="auto"/>
          <w:kern w:val="0"/>
          <w:sz w:val="32"/>
          <w:szCs w:val="32"/>
          <w:highlight w:val="none"/>
        </w:rPr>
        <w:t>】</w:t>
      </w:r>
      <w:r>
        <w:rPr>
          <w:rFonts w:hint="eastAsia" w:eastAsia="楷体_GB2312"/>
          <w:b/>
          <w:bCs/>
          <w:color w:val="auto"/>
          <w:kern w:val="0"/>
          <w:sz w:val="32"/>
          <w:szCs w:val="32"/>
          <w:highlight w:val="none"/>
        </w:rPr>
        <w:t xml:space="preserve"> </w:t>
      </w:r>
      <w:r>
        <w:rPr>
          <w:rFonts w:hint="eastAsia" w:ascii="仿宋_GB2312" w:hAnsi="仿宋_GB2312" w:eastAsia="仿宋_GB2312" w:cs="仿宋_GB2312"/>
          <w:color w:val="auto"/>
          <w:sz w:val="32"/>
          <w:szCs w:val="32"/>
          <w:highlight w:val="none"/>
        </w:rPr>
        <w:t>申请成品油零售经营资格的企业，应当向零售网点所在地</w:t>
      </w:r>
      <w:r>
        <w:rPr>
          <w:rFonts w:hint="eastAsia" w:ascii="仿宋_GB2312" w:hAnsi="仿宋_GB2312" w:eastAsia="仿宋_GB2312" w:cs="仿宋_GB2312"/>
          <w:color w:val="auto"/>
          <w:sz w:val="32"/>
          <w:szCs w:val="32"/>
          <w:highlight w:val="none"/>
          <w:lang w:eastAsia="zh-CN"/>
        </w:rPr>
        <w:t>市级商务部门</w:t>
      </w:r>
      <w:r>
        <w:rPr>
          <w:rFonts w:hint="eastAsia" w:ascii="仿宋_GB2312" w:hAnsi="仿宋_GB2312" w:eastAsia="仿宋_GB2312" w:cs="仿宋_GB2312"/>
          <w:color w:val="auto"/>
          <w:sz w:val="32"/>
          <w:szCs w:val="32"/>
          <w:highlight w:val="none"/>
        </w:rPr>
        <w:t>部门提出申请</w:t>
      </w:r>
      <w:r>
        <w:rPr>
          <w:rFonts w:hint="eastAsia" w:ascii="仿宋_GB2312" w:hAnsi="仿宋_GB2312" w:eastAsia="仿宋_GB2312" w:cs="仿宋_GB2312"/>
          <w:color w:val="auto"/>
          <w:sz w:val="32"/>
          <w:szCs w:val="32"/>
          <w:highlight w:val="none"/>
          <w:lang w:eastAsia="zh-CN"/>
        </w:rPr>
        <w:t>，依法受理申请并进行审核。对符合规定条件的，准予成品油零售经营资格许可，颁发成品油零售经营许可证，并将许可企业信息推送</w:t>
      </w:r>
      <w:r>
        <w:rPr>
          <w:rFonts w:hint="eastAsia" w:ascii="仿宋_GB2312" w:hAnsi="仿宋_GB2312" w:eastAsia="仿宋_GB2312" w:cs="仿宋_GB2312"/>
          <w:b w:val="0"/>
          <w:bCs w:val="0"/>
          <w:color w:val="auto"/>
          <w:sz w:val="32"/>
          <w:szCs w:val="32"/>
          <w:highlight w:val="none"/>
          <w:lang w:eastAsia="zh-CN"/>
        </w:rPr>
        <w:t>有关部</w:t>
      </w:r>
      <w:r>
        <w:rPr>
          <w:rFonts w:hint="eastAsia" w:ascii="仿宋_GB2312" w:hAnsi="仿宋_GB2312" w:eastAsia="仿宋_GB2312" w:cs="仿宋_GB2312"/>
          <w:color w:val="auto"/>
          <w:sz w:val="32"/>
          <w:szCs w:val="32"/>
          <w:highlight w:val="none"/>
          <w:lang w:eastAsia="zh-CN"/>
        </w:rPr>
        <w:t>门。对不符合条件的，作出不予批准的决定并说明理由。市级商务部门应明确申请接收方式，包括线上申请平台的网址及线下申请地址等信息，并向社会公布。</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仿宋_GB2312" w:hAnsi="仿宋_GB2312" w:eastAsia="仿宋_GB2312" w:cs="仿宋_GB2312"/>
          <w:color w:val="auto"/>
          <w:sz w:val="32"/>
          <w:szCs w:val="32"/>
          <w:highlight w:val="none"/>
        </w:rPr>
      </w:pPr>
      <w:r>
        <w:rPr>
          <w:rFonts w:ascii="Times New Roman" w:hAnsi="Times New Roman" w:eastAsia="楷体_GB2312" w:cs="Times New Roman"/>
          <w:b/>
          <w:bCs/>
          <w:color w:val="auto"/>
          <w:kern w:val="0"/>
          <w:sz w:val="32"/>
          <w:szCs w:val="32"/>
          <w:highlight w:val="none"/>
        </w:rPr>
        <w:t>第</w:t>
      </w:r>
      <w:r>
        <w:rPr>
          <w:rFonts w:hint="eastAsia" w:ascii="Times New Roman" w:hAnsi="Times New Roman" w:eastAsia="楷体_GB2312" w:cs="Times New Roman"/>
          <w:b/>
          <w:bCs/>
          <w:color w:val="auto"/>
          <w:kern w:val="0"/>
          <w:sz w:val="32"/>
          <w:szCs w:val="32"/>
          <w:highlight w:val="none"/>
          <w:lang w:eastAsia="zh-CN"/>
        </w:rPr>
        <w:t>十条</w:t>
      </w:r>
      <w:r>
        <w:rPr>
          <w:rFonts w:ascii="Times New Roman" w:hAnsi="Times New Roman" w:eastAsia="楷体_GB2312" w:cs="Times New Roman"/>
          <w:b/>
          <w:bCs/>
          <w:color w:val="auto"/>
          <w:kern w:val="0"/>
          <w:sz w:val="32"/>
          <w:szCs w:val="32"/>
          <w:highlight w:val="none"/>
        </w:rPr>
        <w:t>【零售</w:t>
      </w:r>
      <w:r>
        <w:rPr>
          <w:rFonts w:hint="eastAsia" w:ascii="Times New Roman" w:hAnsi="Times New Roman" w:eastAsia="楷体_GB2312" w:cs="Times New Roman"/>
          <w:b/>
          <w:bCs/>
          <w:color w:val="auto"/>
          <w:kern w:val="0"/>
          <w:sz w:val="32"/>
          <w:szCs w:val="32"/>
          <w:highlight w:val="none"/>
          <w:lang w:eastAsia="zh-CN"/>
        </w:rPr>
        <w:t>经营资格申请</w:t>
      </w:r>
      <w:r>
        <w:rPr>
          <w:rFonts w:hint="eastAsia" w:ascii="Times New Roman" w:hAnsi="Times New Roman" w:eastAsia="楷体_GB2312" w:cs="Times New Roman"/>
          <w:b/>
          <w:bCs/>
          <w:color w:val="auto"/>
          <w:kern w:val="0"/>
          <w:sz w:val="32"/>
          <w:szCs w:val="32"/>
          <w:highlight w:val="none"/>
        </w:rPr>
        <w:t>条件</w:t>
      </w:r>
      <w:r>
        <w:rPr>
          <w:rFonts w:ascii="Times New Roman" w:hAnsi="Times New Roman" w:eastAsia="楷体_GB2312" w:cs="Times New Roman"/>
          <w:b/>
          <w:bCs/>
          <w:color w:val="auto"/>
          <w:kern w:val="0"/>
          <w:sz w:val="32"/>
          <w:szCs w:val="32"/>
          <w:highlight w:val="none"/>
        </w:rPr>
        <w:t xml:space="preserve">】 </w:t>
      </w:r>
      <w:r>
        <w:rPr>
          <w:rFonts w:hint="eastAsia" w:ascii="仿宋_GB2312" w:hAnsi="仿宋_GB2312" w:eastAsia="仿宋_GB2312" w:cs="仿宋_GB2312"/>
          <w:color w:val="auto"/>
          <w:sz w:val="32"/>
          <w:szCs w:val="32"/>
          <w:highlight w:val="none"/>
        </w:rPr>
        <w:t>申请成品油零售经营资格的企业，应具备下列条件：</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（一）申请主体应为在中华人民共和国境内依法登记注册的企业，申请主体及其法定代表人无违反本</w:t>
      </w:r>
      <w:r>
        <w:rPr>
          <w:rFonts w:hint="eastAsia" w:ascii="仿宋_GB2312" w:hAnsi="仿宋_GB2312" w:eastAsia="仿宋_GB2312" w:cs="仿宋_GB2312"/>
          <w:color w:val="auto"/>
          <w:sz w:val="32"/>
          <w:szCs w:val="32"/>
          <w:highlight w:val="none"/>
          <w:lang w:eastAsia="zh-CN"/>
        </w:rPr>
        <w:t>细则</w:t>
      </w:r>
      <w:r>
        <w:rPr>
          <w:rFonts w:hint="eastAsia" w:ascii="仿宋_GB2312" w:hAnsi="仿宋_GB2312" w:eastAsia="仿宋_GB2312" w:cs="仿宋_GB2312"/>
          <w:color w:val="auto"/>
          <w:sz w:val="32"/>
          <w:szCs w:val="32"/>
          <w:highlight w:val="none"/>
        </w:rPr>
        <w:t>规定及其他违法行为且征信无不良记录；</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（二）零售网点符合本地区</w:t>
      </w:r>
      <w:r>
        <w:rPr>
          <w:rFonts w:hint="eastAsia" w:ascii="仿宋_GB2312" w:hAnsi="仿宋_GB2312" w:eastAsia="仿宋_GB2312" w:cs="仿宋_GB2312"/>
          <w:color w:val="auto"/>
          <w:sz w:val="32"/>
          <w:szCs w:val="32"/>
          <w:highlight w:val="none"/>
          <w:lang w:eastAsia="zh-CN"/>
        </w:rPr>
        <w:t>国土空间规划和</w:t>
      </w:r>
      <w:r>
        <w:rPr>
          <w:rFonts w:hint="eastAsia" w:ascii="仿宋_GB2312" w:hAnsi="仿宋_GB2312" w:eastAsia="仿宋_GB2312" w:cs="仿宋_GB2312"/>
          <w:color w:val="auto"/>
          <w:sz w:val="32"/>
          <w:szCs w:val="32"/>
          <w:highlight w:val="none"/>
        </w:rPr>
        <w:t>成品油零售体系发展规划；</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（三）零售网点符合加油站建设的国家强制性标准有关要求；符合自然资源、规划、建设、安全生产、消防、环保、质量、计量、税务、气象等方面法律法规和标准要求，依法通过审查和验收。</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（四）利用加油船申请成品油零售经营资格的企业，除符合上述规定外，应控股拥有符合国家相关法律法规要求的供油船舶，应符合港口、海事、水利等有关规定，应依法取得有关部门的行政许可并通过验收；</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（五）民用机场航空燃油加油（注）站除符合上述（一）、（三）规定外，还应配备符合国家有关标准、与经营业务规模相适应的航空燃油供应设施和设备。</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eastAsia="楷体_GB2312"/>
          <w:b/>
          <w:bCs/>
          <w:color w:val="auto"/>
          <w:kern w:val="0"/>
          <w:sz w:val="32"/>
          <w:szCs w:val="32"/>
          <w:highlight w:val="none"/>
        </w:rPr>
      </w:pPr>
      <w:r>
        <w:rPr>
          <w:rFonts w:eastAsia="楷体_GB2312"/>
          <w:b/>
          <w:bCs/>
          <w:color w:val="auto"/>
          <w:kern w:val="0"/>
          <w:sz w:val="32"/>
          <w:szCs w:val="32"/>
          <w:highlight w:val="none"/>
        </w:rPr>
        <w:t>第</w:t>
      </w:r>
      <w:r>
        <w:rPr>
          <w:rFonts w:hint="eastAsia" w:eastAsia="楷体_GB2312"/>
          <w:b/>
          <w:bCs/>
          <w:color w:val="auto"/>
          <w:kern w:val="0"/>
          <w:sz w:val="32"/>
          <w:szCs w:val="32"/>
          <w:highlight w:val="none"/>
          <w:lang w:eastAsia="zh-CN"/>
        </w:rPr>
        <w:t>十一</w:t>
      </w:r>
      <w:r>
        <w:rPr>
          <w:rFonts w:eastAsia="楷体_GB2312"/>
          <w:b/>
          <w:bCs/>
          <w:color w:val="auto"/>
          <w:kern w:val="0"/>
          <w:sz w:val="32"/>
          <w:szCs w:val="32"/>
          <w:highlight w:val="none"/>
        </w:rPr>
        <w:t>条【</w:t>
      </w:r>
      <w:r>
        <w:rPr>
          <w:rFonts w:ascii="Times New Roman" w:hAnsi="Times New Roman" w:eastAsia="楷体_GB2312" w:cs="Times New Roman"/>
          <w:b/>
          <w:bCs/>
          <w:color w:val="auto"/>
          <w:kern w:val="0"/>
          <w:sz w:val="32"/>
          <w:szCs w:val="32"/>
          <w:highlight w:val="none"/>
        </w:rPr>
        <w:t>零售经营资格申请材料</w:t>
      </w:r>
      <w:r>
        <w:rPr>
          <w:rFonts w:eastAsia="楷体_GB2312"/>
          <w:b/>
          <w:bCs/>
          <w:color w:val="auto"/>
          <w:kern w:val="0"/>
          <w:sz w:val="32"/>
          <w:szCs w:val="32"/>
          <w:highlight w:val="none"/>
        </w:rPr>
        <w:t>】</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一</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rPr>
        <w:t>贵州省成品油零售经营资格申请表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详见附表1</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和</w:t>
      </w:r>
      <w:r>
        <w:rPr>
          <w:rFonts w:hint="eastAsia" w:ascii="仿宋_GB2312" w:hAnsi="仿宋_GB2312" w:eastAsia="仿宋_GB2312" w:cs="仿宋_GB2312"/>
          <w:color w:val="auto"/>
          <w:sz w:val="32"/>
          <w:szCs w:val="32"/>
          <w:highlight w:val="none"/>
        </w:rPr>
        <w:t>企业申请文件，</w:t>
      </w:r>
      <w:r>
        <w:rPr>
          <w:rFonts w:hint="eastAsia" w:ascii="仿宋_GB2312" w:hAnsi="仿宋_GB2312" w:eastAsia="仿宋_GB2312" w:cs="仿宋_GB2312"/>
          <w:color w:val="auto"/>
          <w:sz w:val="32"/>
          <w:szCs w:val="32"/>
          <w:highlight w:val="none"/>
          <w:lang w:val="en-US" w:eastAsia="zh-CN"/>
        </w:rPr>
        <w:t>申请文件</w:t>
      </w:r>
      <w:r>
        <w:rPr>
          <w:rFonts w:hint="eastAsia" w:ascii="仿宋_GB2312" w:hAnsi="仿宋_GB2312" w:eastAsia="仿宋_GB2312" w:cs="仿宋_GB2312"/>
          <w:color w:val="auto"/>
          <w:sz w:val="32"/>
          <w:szCs w:val="32"/>
          <w:highlight w:val="none"/>
        </w:rPr>
        <w:t>应明确企业基本情况、申请零售经营资格的目的、未来经营规划等内容，且加盖公章。</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二</w:t>
      </w:r>
      <w:r>
        <w:rPr>
          <w:rFonts w:hint="eastAsia" w:ascii="仿宋_GB2312" w:hAnsi="仿宋_GB2312" w:eastAsia="仿宋_GB2312" w:cs="仿宋_GB2312"/>
          <w:color w:val="auto"/>
          <w:sz w:val="32"/>
          <w:szCs w:val="32"/>
          <w:highlight w:val="none"/>
        </w:rPr>
        <w:t>）企业营业执照，需提供原件扫描件或复印件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通过政府信息系统核实</w:t>
      </w:r>
      <w:r>
        <w:rPr>
          <w:rFonts w:hint="eastAsia" w:ascii="仿宋_GB2312" w:hAnsi="仿宋_GB2312" w:eastAsia="仿宋_GB2312" w:cs="仿宋_GB2312"/>
          <w:color w:val="auto"/>
          <w:sz w:val="32"/>
          <w:szCs w:val="32"/>
          <w:highlight w:val="none"/>
          <w:lang w:eastAsia="zh-CN"/>
        </w:rPr>
        <w:t>的证明材料并</w:t>
      </w:r>
      <w:r>
        <w:rPr>
          <w:rFonts w:hint="eastAsia" w:ascii="仿宋_GB2312" w:hAnsi="仿宋_GB2312" w:eastAsia="仿宋_GB2312" w:cs="仿宋_GB2312"/>
          <w:color w:val="auto"/>
          <w:sz w:val="32"/>
          <w:szCs w:val="32"/>
          <w:highlight w:val="none"/>
        </w:rPr>
        <w:t>加盖公章。</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三</w:t>
      </w:r>
      <w:r>
        <w:rPr>
          <w:rFonts w:hint="eastAsia" w:ascii="仿宋_GB2312" w:hAnsi="仿宋_GB2312" w:eastAsia="仿宋_GB2312" w:cs="仿宋_GB2312"/>
          <w:color w:val="auto"/>
          <w:sz w:val="32"/>
          <w:szCs w:val="32"/>
          <w:highlight w:val="none"/>
        </w:rPr>
        <w:t>）零售网点及其配套设施的产权文件，若为自有产权，提供产权证书；</w:t>
      </w:r>
      <w:r>
        <w:rPr>
          <w:rFonts w:hint="eastAsia" w:ascii="仿宋_GB2312" w:hAnsi="仿宋_GB2312" w:eastAsia="仿宋_GB2312" w:cs="仿宋_GB2312"/>
          <w:color w:val="auto"/>
          <w:sz w:val="32"/>
          <w:szCs w:val="32"/>
          <w:highlight w:val="none"/>
          <w:lang w:eastAsia="zh-CN"/>
        </w:rPr>
        <w:t>高速公路零售网点项目，提交国家或省级建设高速公路立项批文，出具《土地出让合同》或《土地划拨决定书》及其规划条件作为土地使用证明文件；</w:t>
      </w:r>
      <w:r>
        <w:rPr>
          <w:rFonts w:hint="eastAsia" w:ascii="仿宋_GB2312" w:hAnsi="仿宋_GB2312" w:eastAsia="仿宋_GB2312" w:cs="仿宋_GB2312"/>
          <w:color w:val="auto"/>
          <w:sz w:val="32"/>
          <w:szCs w:val="32"/>
          <w:highlight w:val="none"/>
        </w:rPr>
        <w:t>若为租赁，提供租赁合同及出租方产权证明，合同需明确租赁期限、租赁用途等关键信息。</w:t>
      </w:r>
      <w:r>
        <w:rPr>
          <w:rFonts w:hint="eastAsia" w:ascii="仿宋_GB2312" w:hAnsi="仿宋_GB2312" w:eastAsia="仿宋_GB2312" w:cs="仿宋_GB2312"/>
          <w:color w:val="auto"/>
          <w:sz w:val="32"/>
          <w:szCs w:val="32"/>
          <w:highlight w:val="none"/>
          <w:lang w:eastAsia="zh-CN"/>
        </w:rPr>
        <w:t>所提供材料原件扫描件或复印件并加盖公章。</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四</w:t>
      </w:r>
      <w:r>
        <w:rPr>
          <w:rFonts w:hint="eastAsia" w:ascii="仿宋_GB2312" w:hAnsi="仿宋_GB2312" w:eastAsia="仿宋_GB2312" w:cs="仿宋_GB2312"/>
          <w:color w:val="auto"/>
          <w:sz w:val="32"/>
          <w:szCs w:val="32"/>
          <w:highlight w:val="none"/>
        </w:rPr>
        <w:t>）市级商务主管部门出具的规划确认文件，</w:t>
      </w:r>
      <w:r>
        <w:rPr>
          <w:rFonts w:hint="eastAsia" w:ascii="仿宋_GB2312" w:hAnsi="仿宋_GB2312" w:eastAsia="仿宋_GB2312" w:cs="仿宋_GB2312"/>
          <w:color w:val="auto"/>
          <w:sz w:val="32"/>
          <w:szCs w:val="32"/>
          <w:highlight w:val="none"/>
          <w:lang w:eastAsia="zh-CN"/>
        </w:rPr>
        <w:t>须</w:t>
      </w:r>
      <w:r>
        <w:rPr>
          <w:rFonts w:hint="eastAsia" w:ascii="仿宋_GB2312" w:hAnsi="仿宋_GB2312" w:eastAsia="仿宋_GB2312" w:cs="仿宋_GB2312"/>
          <w:color w:val="auto"/>
          <w:sz w:val="32"/>
          <w:szCs w:val="32"/>
          <w:highlight w:val="none"/>
        </w:rPr>
        <w:t>明确零售网点符合当地成品油零售体系发展规划的具体内容。</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五</w:t>
      </w:r>
      <w:r>
        <w:rPr>
          <w:rFonts w:hint="eastAsia" w:ascii="仿宋_GB2312" w:hAnsi="仿宋_GB2312" w:eastAsia="仿宋_GB2312" w:cs="仿宋_GB2312"/>
          <w:color w:val="auto"/>
          <w:sz w:val="32"/>
          <w:szCs w:val="32"/>
          <w:highlight w:val="none"/>
        </w:rPr>
        <w:t>）危险化学品经营许可证或港口经营许可证（含港口危险货物作业附证及相关附表），提供证书原件扫描件或复印件</w:t>
      </w:r>
      <w:r>
        <w:rPr>
          <w:rFonts w:hint="eastAsia" w:ascii="仿宋_GB2312" w:hAnsi="仿宋_GB2312" w:eastAsia="仿宋_GB2312" w:cs="仿宋_GB2312"/>
          <w:color w:val="auto"/>
          <w:sz w:val="32"/>
          <w:szCs w:val="32"/>
          <w:highlight w:val="none"/>
          <w:lang w:eastAsia="zh-CN"/>
        </w:rPr>
        <w:t>并</w:t>
      </w:r>
      <w:r>
        <w:rPr>
          <w:rFonts w:hint="eastAsia" w:ascii="仿宋_GB2312" w:hAnsi="仿宋_GB2312" w:eastAsia="仿宋_GB2312" w:cs="仿宋_GB2312"/>
          <w:color w:val="auto"/>
          <w:sz w:val="32"/>
          <w:szCs w:val="32"/>
          <w:highlight w:val="none"/>
        </w:rPr>
        <w:t>加盖公章。</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六</w:t>
      </w:r>
      <w:r>
        <w:rPr>
          <w:rFonts w:hint="eastAsia" w:ascii="仿宋_GB2312" w:hAnsi="仿宋_GB2312" w:eastAsia="仿宋_GB2312" w:cs="仿宋_GB2312"/>
          <w:color w:val="auto"/>
          <w:sz w:val="32"/>
          <w:szCs w:val="32"/>
          <w:highlight w:val="none"/>
        </w:rPr>
        <w:t>）零售网点及其配套设施依法需要取得的生态环境、交通运输、自然资源、住房城乡建设、应急管理、市场监管等相关部门核发的许可文件或验收合格文件；民用机场内零售网点还应当提供符合国家有关标准、与经营业务规模相适应的航空燃油供应设施和设备的证明材料，但无需提交本款第（四）项材料；加油趸船还应当提供船舶权证、水域准入文件、加油趸船有效检验证书、港口经营备案批准材料。提供</w:t>
      </w:r>
      <w:r>
        <w:rPr>
          <w:rFonts w:hint="eastAsia" w:ascii="仿宋_GB2312" w:hAnsi="仿宋_GB2312" w:eastAsia="仿宋_GB2312" w:cs="仿宋_GB2312"/>
          <w:color w:val="auto"/>
          <w:sz w:val="32"/>
          <w:szCs w:val="32"/>
          <w:highlight w:val="none"/>
          <w:lang w:eastAsia="zh-CN"/>
        </w:rPr>
        <w:t>材料</w:t>
      </w:r>
      <w:r>
        <w:rPr>
          <w:rFonts w:hint="eastAsia" w:ascii="仿宋_GB2312" w:hAnsi="仿宋_GB2312" w:eastAsia="仿宋_GB2312" w:cs="仿宋_GB2312"/>
          <w:color w:val="auto"/>
          <w:sz w:val="32"/>
          <w:szCs w:val="32"/>
          <w:highlight w:val="none"/>
        </w:rPr>
        <w:t>原件扫描件或复印件</w:t>
      </w:r>
      <w:r>
        <w:rPr>
          <w:rFonts w:hint="eastAsia" w:ascii="仿宋_GB2312" w:hAnsi="仿宋_GB2312" w:eastAsia="仿宋_GB2312" w:cs="仿宋_GB2312"/>
          <w:color w:val="auto"/>
          <w:sz w:val="32"/>
          <w:szCs w:val="32"/>
          <w:highlight w:val="none"/>
          <w:lang w:eastAsia="zh-CN"/>
        </w:rPr>
        <w:t>并</w:t>
      </w:r>
      <w:r>
        <w:rPr>
          <w:rFonts w:hint="eastAsia" w:ascii="仿宋_GB2312" w:hAnsi="仿宋_GB2312" w:eastAsia="仿宋_GB2312" w:cs="仿宋_GB2312"/>
          <w:color w:val="auto"/>
          <w:sz w:val="32"/>
          <w:szCs w:val="32"/>
          <w:highlight w:val="none"/>
        </w:rPr>
        <w:t>加盖公章。</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七</w:t>
      </w:r>
      <w:r>
        <w:rPr>
          <w:rFonts w:hint="eastAsia" w:ascii="仿宋_GB2312" w:hAnsi="仿宋_GB2312" w:eastAsia="仿宋_GB2312" w:cs="仿宋_GB2312"/>
          <w:color w:val="auto"/>
          <w:sz w:val="32"/>
          <w:szCs w:val="32"/>
          <w:highlight w:val="none"/>
        </w:rPr>
        <w:t>）审核机关要求的其他文件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企业在贵州当地的纳税证明、企业信用报告等提供证书原件扫描件或复印件</w:t>
      </w:r>
      <w:r>
        <w:rPr>
          <w:rFonts w:hint="eastAsia" w:ascii="仿宋_GB2312" w:hAnsi="仿宋_GB2312" w:eastAsia="仿宋_GB2312" w:cs="仿宋_GB2312"/>
          <w:color w:val="auto"/>
          <w:sz w:val="32"/>
          <w:szCs w:val="32"/>
          <w:highlight w:val="none"/>
          <w:lang w:eastAsia="zh-CN"/>
        </w:rPr>
        <w:t>并</w:t>
      </w:r>
      <w:r>
        <w:rPr>
          <w:rFonts w:hint="eastAsia" w:ascii="仿宋_GB2312" w:hAnsi="仿宋_GB2312" w:eastAsia="仿宋_GB2312" w:cs="仿宋_GB2312"/>
          <w:color w:val="auto"/>
          <w:sz w:val="32"/>
          <w:szCs w:val="32"/>
          <w:highlight w:val="none"/>
        </w:rPr>
        <w:t>加盖公章。企业</w:t>
      </w:r>
      <w:r>
        <w:rPr>
          <w:rFonts w:hint="eastAsia" w:ascii="仿宋_GB2312" w:hAnsi="仿宋_GB2312" w:eastAsia="仿宋_GB2312" w:cs="仿宋_GB2312"/>
          <w:color w:val="auto"/>
          <w:sz w:val="32"/>
          <w:szCs w:val="32"/>
          <w:highlight w:val="none"/>
          <w:lang w:eastAsia="zh-CN"/>
        </w:rPr>
        <w:t>须</w:t>
      </w:r>
      <w:r>
        <w:rPr>
          <w:rFonts w:hint="eastAsia" w:ascii="仿宋_GB2312" w:hAnsi="仿宋_GB2312" w:eastAsia="仿宋_GB2312" w:cs="仿宋_GB2312"/>
          <w:color w:val="auto"/>
          <w:sz w:val="32"/>
          <w:szCs w:val="32"/>
          <w:highlight w:val="none"/>
        </w:rPr>
        <w:t>对其提交的申请材料的真实性、合法性和完整性负责，提交虚假材料的，按照相关规定承担法律责任。</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color w:val="auto"/>
          <w:sz w:val="32"/>
          <w:szCs w:val="32"/>
          <w:highlight w:val="none"/>
          <w:lang w:eastAsia="zh-CN"/>
        </w:rPr>
      </w:pPr>
      <w:r>
        <w:rPr>
          <w:rFonts w:eastAsia="楷体_GB2312"/>
          <w:b/>
          <w:bCs/>
          <w:color w:val="auto"/>
          <w:kern w:val="0"/>
          <w:sz w:val="32"/>
          <w:szCs w:val="32"/>
          <w:highlight w:val="none"/>
        </w:rPr>
        <w:t>第</w:t>
      </w:r>
      <w:r>
        <w:rPr>
          <w:rFonts w:hint="eastAsia" w:eastAsia="楷体_GB2312"/>
          <w:b/>
          <w:bCs/>
          <w:color w:val="auto"/>
          <w:kern w:val="0"/>
          <w:sz w:val="32"/>
          <w:szCs w:val="32"/>
          <w:highlight w:val="none"/>
          <w:lang w:eastAsia="zh-CN"/>
        </w:rPr>
        <w:t>十二</w:t>
      </w:r>
      <w:r>
        <w:rPr>
          <w:rFonts w:eastAsia="楷体_GB2312"/>
          <w:b/>
          <w:bCs/>
          <w:color w:val="auto"/>
          <w:kern w:val="0"/>
          <w:sz w:val="32"/>
          <w:szCs w:val="32"/>
          <w:highlight w:val="none"/>
        </w:rPr>
        <w:t>条【</w:t>
      </w:r>
      <w:r>
        <w:rPr>
          <w:rFonts w:ascii="Times New Roman" w:hAnsi="Times New Roman" w:eastAsia="楷体_GB2312" w:cs="Times New Roman"/>
          <w:b/>
          <w:bCs/>
          <w:color w:val="auto"/>
          <w:kern w:val="0"/>
          <w:sz w:val="32"/>
          <w:szCs w:val="32"/>
          <w:highlight w:val="none"/>
        </w:rPr>
        <w:t>零售经营资格许可程序与期限】</w:t>
      </w:r>
      <w:r>
        <w:rPr>
          <w:rFonts w:hint="eastAsia" w:ascii="Times New Roman" w:hAnsi="Times New Roman" w:eastAsia="楷体_GB2312" w:cs="Times New Roman"/>
          <w:b/>
          <w:bCs/>
          <w:color w:val="auto"/>
          <w:kern w:val="0"/>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CN"/>
        </w:rPr>
        <w:t>各市级商务部门</w:t>
      </w:r>
      <w:r>
        <w:rPr>
          <w:rFonts w:hint="eastAsia" w:ascii="仿宋_GB2312" w:hAnsi="仿宋_GB2312" w:eastAsia="仿宋_GB2312" w:cs="仿宋_GB2312"/>
          <w:color w:val="auto"/>
          <w:sz w:val="32"/>
          <w:szCs w:val="32"/>
          <w:highlight w:val="none"/>
        </w:rPr>
        <w:t>部门实施成品油零售经营资格许可的程序和期限，严格依照《中华人民共和国行政许可法》的有关规定执行。在许可过程中，应明确各环节的办理时限，并向社会公开，接受社会监督。受理申请后5个工作日内作出是否受理的决定，受理后20个工作日内完成审核并作出许可决定</w:t>
      </w:r>
      <w:r>
        <w:rPr>
          <w:rFonts w:hint="eastAsia" w:ascii="仿宋_GB2312" w:hAnsi="仿宋_GB2312" w:eastAsia="仿宋_GB2312" w:cs="仿宋_GB2312"/>
          <w:color w:val="auto"/>
          <w:sz w:val="32"/>
          <w:szCs w:val="32"/>
          <w:highlight w:val="none"/>
          <w:lang w:eastAsia="zh-CN"/>
        </w:rPr>
        <w:t>，并在政府网站公示。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Cs w:val="0"/>
          <w:color w:val="auto"/>
          <w:kern w:val="2"/>
          <w:sz w:val="32"/>
          <w:szCs w:val="32"/>
          <w:highlight w:val="none"/>
          <w:lang w:val="en-US" w:eastAsia="zh-CN" w:bidi="ar-SA"/>
        </w:rPr>
      </w:pPr>
      <w:r>
        <w:rPr>
          <w:rFonts w:ascii="Times New Roman" w:hAnsi="Times New Roman" w:eastAsia="楷体_GB2312" w:cs="Times New Roman"/>
          <w:b/>
          <w:bCs/>
          <w:color w:val="auto"/>
          <w:kern w:val="0"/>
          <w:sz w:val="32"/>
          <w:szCs w:val="32"/>
          <w:highlight w:val="none"/>
          <w:lang w:val="en-US" w:eastAsia="zh-CN" w:bidi="ar-SA"/>
        </w:rPr>
        <w:t>第十三条</w:t>
      </w:r>
      <w:r>
        <w:rPr>
          <w:rFonts w:eastAsia="楷体_GB2312"/>
          <w:b/>
          <w:bCs/>
          <w:color w:val="auto"/>
          <w:kern w:val="0"/>
          <w:sz w:val="32"/>
          <w:szCs w:val="32"/>
          <w:highlight w:val="none"/>
        </w:rPr>
        <w:t>【</w:t>
      </w:r>
      <w:r>
        <w:rPr>
          <w:rFonts w:ascii="Times New Roman" w:hAnsi="Times New Roman" w:eastAsia="楷体_GB2312" w:cs="Times New Roman"/>
          <w:b/>
          <w:bCs/>
          <w:color w:val="auto"/>
          <w:kern w:val="0"/>
          <w:sz w:val="32"/>
          <w:szCs w:val="32"/>
          <w:highlight w:val="none"/>
          <w:lang w:val="en-US" w:eastAsia="zh-CN" w:bidi="ar-SA"/>
        </w:rPr>
        <w:t>零售经营批准证书发放原则</w:t>
      </w:r>
      <w:r>
        <w:rPr>
          <w:rFonts w:ascii="Times New Roman" w:hAnsi="Times New Roman" w:eastAsia="楷体_GB2312" w:cs="Times New Roman"/>
          <w:b/>
          <w:bCs/>
          <w:color w:val="auto"/>
          <w:kern w:val="0"/>
          <w:sz w:val="32"/>
          <w:szCs w:val="32"/>
          <w:highlight w:val="none"/>
        </w:rPr>
        <w:t>】</w:t>
      </w:r>
      <w:r>
        <w:rPr>
          <w:rFonts w:hint="eastAsia" w:ascii="Segoe UI" w:hAnsi="Segoe UI" w:eastAsia="宋体" w:cs="Segoe UI"/>
          <w:i w:val="0"/>
          <w:caps w:val="0"/>
          <w:color w:val="auto"/>
          <w:spacing w:val="0"/>
          <w:sz w:val="27"/>
          <w:szCs w:val="27"/>
          <w:highlight w:val="none"/>
          <w:shd w:val="clear" w:color="auto" w:fill="FFFFFF"/>
          <w:lang w:val="en-US" w:eastAsia="zh-CN"/>
        </w:rPr>
        <w:t xml:space="preserve"> </w:t>
      </w:r>
      <w:r>
        <w:rPr>
          <w:rFonts w:hint="eastAsia" w:ascii="仿宋_GB2312" w:hAnsi="仿宋_GB2312" w:eastAsia="仿宋_GB2312" w:cs="仿宋_GB2312"/>
          <w:bCs w:val="0"/>
          <w:color w:val="auto"/>
          <w:kern w:val="2"/>
          <w:sz w:val="32"/>
          <w:szCs w:val="32"/>
          <w:highlight w:val="none"/>
          <w:lang w:val="en-US" w:eastAsia="zh-CN" w:bidi="ar-SA"/>
        </w:rPr>
        <w:t>成品油零售经营批准证书的发放实施一站一证原则。批准证书的登记经营地址（场所）应当与零售网点地址保持一致，每个地址只能登记一个批准证书。各市级商务部门部门在发放证书时，应仔细核对证书登记信息与零售网点实际情况，确保信息准确无误。并建立证书发放登记制度。</w:t>
      </w:r>
    </w:p>
    <w:p>
      <w:pPr>
        <w:pageBreakBefore w:val="0"/>
        <w:numPr>
          <w:ilvl w:val="0"/>
          <w:numId w:val="0"/>
        </w:numPr>
        <w:kinsoku/>
        <w:topLinePunct w:val="0"/>
        <w:bidi w:val="0"/>
        <w:snapToGrid/>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楷体_GB2312" w:cs="Times New Roman"/>
          <w:b/>
          <w:bCs/>
          <w:color w:val="auto"/>
          <w:kern w:val="0"/>
          <w:sz w:val="32"/>
          <w:szCs w:val="32"/>
          <w:highlight w:val="none"/>
          <w:lang w:val="en-US" w:eastAsia="zh-CN" w:bidi="ar-SA"/>
        </w:rPr>
        <w:t>第十四条【</w:t>
      </w:r>
      <w:r>
        <w:rPr>
          <w:rFonts w:ascii="Times New Roman" w:hAnsi="Times New Roman" w:eastAsia="楷体_GB2312" w:cs="Times New Roman"/>
          <w:b/>
          <w:bCs/>
          <w:color w:val="auto"/>
          <w:kern w:val="0"/>
          <w:sz w:val="32"/>
          <w:szCs w:val="32"/>
          <w:highlight w:val="none"/>
          <w:lang w:val="en-US" w:eastAsia="zh-CN" w:bidi="ar-SA"/>
        </w:rPr>
        <w:t>零售经营批准证书有效期与延续</w:t>
      </w:r>
      <w:r>
        <w:rPr>
          <w:rFonts w:hint="eastAsia" w:ascii="Times New Roman" w:hAnsi="Times New Roman" w:eastAsia="楷体_GB2312" w:cs="Times New Roman"/>
          <w:b/>
          <w:bCs/>
          <w:color w:val="auto"/>
          <w:kern w:val="0"/>
          <w:sz w:val="32"/>
          <w:szCs w:val="32"/>
          <w:highlight w:val="none"/>
          <w:lang w:val="en-US" w:eastAsia="zh-CN" w:bidi="ar-SA"/>
        </w:rPr>
        <w:t>】</w:t>
      </w:r>
      <w:r>
        <w:rPr>
          <w:rFonts w:hint="eastAsia" w:ascii="Segoe UI" w:hAnsi="Segoe UI" w:eastAsia="宋体" w:cs="Segoe UI"/>
          <w:i w:val="0"/>
          <w:caps w:val="0"/>
          <w:color w:val="auto"/>
          <w:spacing w:val="0"/>
          <w:sz w:val="27"/>
          <w:szCs w:val="27"/>
          <w:highlight w:val="none"/>
          <w:shd w:val="clear" w:color="auto" w:fill="FFFFFF"/>
          <w:lang w:val="en-US" w:eastAsia="zh-CN"/>
        </w:rPr>
        <w:t xml:space="preserve"> </w:t>
      </w:r>
      <w:r>
        <w:rPr>
          <w:rFonts w:hint="eastAsia" w:ascii="仿宋_GB2312" w:hAnsi="仿宋_GB2312" w:eastAsia="仿宋_GB2312" w:cs="仿宋_GB2312"/>
          <w:color w:val="auto"/>
          <w:sz w:val="32"/>
          <w:szCs w:val="32"/>
          <w:highlight w:val="none"/>
        </w:rPr>
        <w:t>成品油零售经营批准证书有效期一般为5年。成品油零售经营企业需要在有效期满后继续从事成品油零售经营活动的，应当在证书有效期届满30日前，向作出许可决定的</w:t>
      </w:r>
      <w:r>
        <w:rPr>
          <w:rFonts w:hint="eastAsia" w:ascii="仿宋_GB2312" w:hAnsi="仿宋_GB2312" w:eastAsia="仿宋_GB2312" w:cs="仿宋_GB2312"/>
          <w:color w:val="auto"/>
          <w:sz w:val="32"/>
          <w:szCs w:val="32"/>
          <w:highlight w:val="none"/>
          <w:lang w:eastAsia="zh-CN"/>
        </w:rPr>
        <w:t>市级商务</w:t>
      </w:r>
      <w:r>
        <w:rPr>
          <w:rFonts w:hint="eastAsia" w:ascii="仿宋_GB2312" w:hAnsi="仿宋_GB2312" w:eastAsia="仿宋_GB2312" w:cs="仿宋_GB2312"/>
          <w:color w:val="auto"/>
          <w:sz w:val="32"/>
          <w:szCs w:val="32"/>
          <w:highlight w:val="none"/>
        </w:rPr>
        <w:t>部门提出延续申请。</w:t>
      </w:r>
      <w:r>
        <w:rPr>
          <w:rFonts w:hint="eastAsia" w:ascii="仿宋_GB2312" w:hAnsi="仿宋_GB2312" w:eastAsia="仿宋_GB2312" w:cs="仿宋_GB2312"/>
          <w:color w:val="auto"/>
          <w:sz w:val="32"/>
          <w:szCs w:val="32"/>
          <w:highlight w:val="none"/>
          <w:lang w:eastAsia="zh-CN"/>
        </w:rPr>
        <w:t>各市级商务部门</w:t>
      </w:r>
      <w:r>
        <w:rPr>
          <w:rFonts w:hint="eastAsia" w:ascii="仿宋_GB2312" w:hAnsi="仿宋_GB2312" w:eastAsia="仿宋_GB2312" w:cs="仿宋_GB2312"/>
          <w:color w:val="auto"/>
          <w:sz w:val="32"/>
          <w:szCs w:val="32"/>
          <w:highlight w:val="none"/>
        </w:rPr>
        <w:t>部门对延续申请进行审核，对仍具备本实施细则第十条规定条件的，准予换领成品油零售经营批准证书。</w:t>
      </w:r>
      <w:r>
        <w:rPr>
          <w:rFonts w:hint="eastAsia" w:ascii="仿宋_GB2312" w:hAnsi="仿宋_GB2312" w:eastAsia="仿宋_GB2312" w:cs="仿宋_GB2312"/>
          <w:color w:val="auto"/>
          <w:sz w:val="32"/>
          <w:szCs w:val="32"/>
          <w:highlight w:val="none"/>
          <w:lang w:eastAsia="zh-CN"/>
        </w:rPr>
        <w:t>延续</w:t>
      </w:r>
      <w:r>
        <w:rPr>
          <w:rFonts w:hint="eastAsia" w:ascii="仿宋_GB2312" w:hAnsi="仿宋_GB2312" w:eastAsia="仿宋_GB2312" w:cs="仿宋_GB2312"/>
          <w:color w:val="auto"/>
          <w:sz w:val="32"/>
          <w:szCs w:val="32"/>
          <w:highlight w:val="none"/>
        </w:rPr>
        <w:t>审核过程中，企业提供经营期间的安全管理情况、油品质量情况、遵守法律法规情况等相关材料</w:t>
      </w:r>
      <w:r>
        <w:rPr>
          <w:rFonts w:hint="eastAsia" w:ascii="仿宋_GB2312" w:hAnsi="仿宋_GB2312" w:eastAsia="仿宋_GB2312" w:cs="仿宋_GB2312"/>
          <w:color w:val="auto"/>
          <w:sz w:val="32"/>
          <w:szCs w:val="32"/>
          <w:highlight w:val="none"/>
          <w:lang w:eastAsia="zh-CN"/>
        </w:rPr>
        <w:t>并</w:t>
      </w:r>
      <w:r>
        <w:rPr>
          <w:rFonts w:hint="eastAsia" w:ascii="仿宋_GB2312" w:hAnsi="仿宋_GB2312" w:eastAsia="仿宋_GB2312" w:cs="仿宋_GB2312"/>
          <w:color w:val="auto"/>
          <w:sz w:val="32"/>
          <w:szCs w:val="32"/>
          <w:highlight w:val="none"/>
        </w:rPr>
        <w:t>加盖公章。租赁经营、特许经营企业依法领取的成品油零售经营批准证书，应当标注“租赁经营”“特许经营”字样，证书有效期不应超过租赁合同、特许经营合同的终止日期。</w:t>
      </w:r>
      <w:r>
        <w:rPr>
          <w:rFonts w:hint="eastAsia" w:ascii="仿宋_GB2312" w:hAnsi="仿宋_GB2312" w:eastAsia="仿宋_GB2312" w:cs="仿宋_GB2312"/>
          <w:color w:val="auto"/>
          <w:sz w:val="32"/>
          <w:szCs w:val="32"/>
          <w:highlight w:val="none"/>
          <w:lang w:eastAsia="zh-CN"/>
        </w:rPr>
        <w:t>市级商务</w:t>
      </w:r>
      <w:r>
        <w:rPr>
          <w:rFonts w:hint="eastAsia" w:ascii="仿宋_GB2312" w:hAnsi="仿宋_GB2312" w:eastAsia="仿宋_GB2312" w:cs="仿宋_GB2312"/>
          <w:color w:val="auto"/>
          <w:sz w:val="32"/>
          <w:szCs w:val="32"/>
          <w:highlight w:val="none"/>
        </w:rPr>
        <w:t>部门在发放此类证书时，应严格核实合同期限等信息。</w:t>
      </w:r>
    </w:p>
    <w:p>
      <w:pPr>
        <w:pageBreakBefore w:val="0"/>
        <w:numPr>
          <w:ilvl w:val="0"/>
          <w:numId w:val="0"/>
        </w:numPr>
        <w:kinsoku/>
        <w:topLinePunct w:val="0"/>
        <w:bidi w:val="0"/>
        <w:snapToGrid/>
        <w:spacing w:line="560" w:lineRule="exact"/>
        <w:ind w:firstLine="643" w:firstLineChars="200"/>
        <w:textAlignment w:val="auto"/>
        <w:rPr>
          <w:rFonts w:hint="eastAsia" w:ascii="仿宋_GB2312" w:hAnsi="仿宋_GB2312" w:eastAsia="仿宋_GB2312" w:cs="仿宋_GB2312"/>
          <w:bCs w:val="0"/>
          <w:color w:val="auto"/>
          <w:kern w:val="2"/>
          <w:sz w:val="32"/>
          <w:szCs w:val="32"/>
          <w:highlight w:val="none"/>
          <w:lang w:val="en-US" w:eastAsia="zh-CN" w:bidi="ar-SA"/>
        </w:rPr>
      </w:pPr>
      <w:r>
        <w:rPr>
          <w:rFonts w:hint="eastAsia" w:ascii="Times New Roman" w:hAnsi="Times New Roman" w:eastAsia="楷体_GB2312" w:cs="Times New Roman"/>
          <w:b/>
          <w:bCs/>
          <w:color w:val="auto"/>
          <w:kern w:val="0"/>
          <w:sz w:val="32"/>
          <w:szCs w:val="32"/>
          <w:highlight w:val="none"/>
          <w:lang w:val="en-US" w:eastAsia="zh-CN" w:bidi="ar-SA"/>
        </w:rPr>
        <w:t>第十五条【零售经营批准证书版式与登记信息】</w:t>
      </w:r>
      <w:r>
        <w:rPr>
          <w:rFonts w:hint="eastAsia" w:ascii="Segoe UI" w:hAnsi="Segoe UI" w:eastAsia="宋体" w:cs="Segoe UI"/>
          <w:i w:val="0"/>
          <w:caps w:val="0"/>
          <w:color w:val="auto"/>
          <w:spacing w:val="0"/>
          <w:sz w:val="27"/>
          <w:szCs w:val="27"/>
          <w:highlight w:val="none"/>
          <w:shd w:val="clear" w:color="auto" w:fill="FFFFFF"/>
          <w:lang w:val="en-US" w:eastAsia="zh-CN"/>
        </w:rPr>
        <w:t xml:space="preserve"> </w:t>
      </w:r>
      <w:r>
        <w:rPr>
          <w:rFonts w:hint="eastAsia" w:ascii="仿宋_GB2312" w:hAnsi="仿宋_GB2312" w:eastAsia="仿宋_GB2312" w:cs="仿宋_GB2312"/>
          <w:bCs w:val="0"/>
          <w:color w:val="auto"/>
          <w:kern w:val="2"/>
          <w:sz w:val="32"/>
          <w:szCs w:val="32"/>
          <w:highlight w:val="none"/>
          <w:lang w:val="en-US" w:eastAsia="zh-CN" w:bidi="ar-SA"/>
        </w:rPr>
        <w:t>贵州省内成品油零售经营批准证书（正、副本）采用商务部统一制定并公布的版式。成品油零售经营批准证书的登记信息应当包括：证书编号、企业名称、经营地址（场所）、法定代表人（负责人）、经营种类、证书有效期、发证机关（签章）以及发证时间。各市级商务部门部门在填写证书信息时，应确保信息清晰、准确、完整。（详见附件）</w:t>
      </w:r>
    </w:p>
    <w:p>
      <w:pPr>
        <w:pageBreakBefore w:val="0"/>
        <w:numPr>
          <w:ilvl w:val="0"/>
          <w:numId w:val="0"/>
        </w:numPr>
        <w:kinsoku/>
        <w:topLinePunct w:val="0"/>
        <w:bidi w:val="0"/>
        <w:snapToGrid/>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楷体_GB2312" w:cs="Times New Roman"/>
          <w:b/>
          <w:bCs/>
          <w:color w:val="auto"/>
          <w:kern w:val="0"/>
          <w:sz w:val="32"/>
          <w:szCs w:val="32"/>
          <w:highlight w:val="none"/>
          <w:lang w:val="en-US" w:eastAsia="zh-CN" w:bidi="ar-SA"/>
        </w:rPr>
        <w:t>第十六条【零售经营批准证书管理】</w:t>
      </w:r>
      <w:r>
        <w:rPr>
          <w:rFonts w:hint="eastAsia" w:ascii="Segoe UI" w:hAnsi="Segoe UI" w:eastAsia="宋体" w:cs="Segoe UI"/>
          <w:i w:val="0"/>
          <w:caps w:val="0"/>
          <w:color w:val="auto"/>
          <w:spacing w:val="0"/>
          <w:sz w:val="27"/>
          <w:szCs w:val="27"/>
          <w:highlight w:val="none"/>
          <w:shd w:val="clear" w:color="auto" w:fill="FFFFFF"/>
          <w:lang w:val="en-US" w:eastAsia="zh-CN"/>
        </w:rPr>
        <w:t xml:space="preserve"> </w:t>
      </w:r>
      <w:r>
        <w:rPr>
          <w:rFonts w:hint="eastAsia" w:ascii="仿宋_GB2312" w:hAnsi="仿宋_GB2312" w:eastAsia="仿宋_GB2312" w:cs="仿宋_GB2312"/>
          <w:color w:val="auto"/>
          <w:sz w:val="32"/>
          <w:szCs w:val="32"/>
          <w:highlight w:val="none"/>
        </w:rPr>
        <w:t>成品油零售经营批准证书不得伪造、涂改，不得买卖、出租、转借、质押或者以任何其他形式转让。企业应妥善保管证书，如有遗失，应及时向发证机关报告并申请补办。已变更、注销或到期换证的成品油零售经营批准证书应当交回发证机关，任何企业和个人不得私自收存。</w:t>
      </w:r>
      <w:r>
        <w:rPr>
          <w:rFonts w:hint="eastAsia" w:ascii="仿宋_GB2312" w:hAnsi="仿宋_GB2312" w:eastAsia="仿宋_GB2312" w:cs="仿宋_GB2312"/>
          <w:color w:val="auto"/>
          <w:sz w:val="32"/>
          <w:szCs w:val="32"/>
          <w:highlight w:val="none"/>
          <w:lang w:eastAsia="zh-CN"/>
        </w:rPr>
        <w:t>各市级商务部门</w:t>
      </w:r>
      <w:r>
        <w:rPr>
          <w:rFonts w:hint="eastAsia" w:ascii="仿宋_GB2312" w:hAnsi="仿宋_GB2312" w:eastAsia="仿宋_GB2312" w:cs="仿宋_GB2312"/>
          <w:color w:val="auto"/>
          <w:sz w:val="32"/>
          <w:szCs w:val="32"/>
          <w:highlight w:val="none"/>
        </w:rPr>
        <w:t>部门应建立证书回收登记制度，对交回的证书进行妥善处理。</w:t>
      </w:r>
    </w:p>
    <w:p>
      <w:pPr>
        <w:pageBreakBefore w:val="0"/>
        <w:numPr>
          <w:ilvl w:val="0"/>
          <w:numId w:val="0"/>
        </w:numPr>
        <w:kinsoku/>
        <w:topLinePunct w:val="0"/>
        <w:bidi w:val="0"/>
        <w:snapToGrid/>
        <w:spacing w:line="560" w:lineRule="exact"/>
        <w:ind w:firstLine="643" w:firstLineChars="200"/>
        <w:textAlignment w:val="auto"/>
        <w:rPr>
          <w:rFonts w:hint="eastAsia" w:ascii="仿宋_GB2312" w:hAnsi="仿宋_GB2312" w:eastAsia="仿宋_GB2312" w:cs="仿宋_GB2312"/>
          <w:bCs w:val="0"/>
          <w:color w:val="auto"/>
          <w:kern w:val="2"/>
          <w:sz w:val="32"/>
          <w:szCs w:val="32"/>
          <w:highlight w:val="none"/>
          <w:lang w:val="en-US" w:eastAsia="zh-CN" w:bidi="ar-SA"/>
        </w:rPr>
      </w:pPr>
      <w:r>
        <w:rPr>
          <w:rFonts w:hint="eastAsia" w:ascii="Times New Roman" w:hAnsi="Times New Roman" w:eastAsia="楷体_GB2312" w:cs="Times New Roman"/>
          <w:b/>
          <w:bCs/>
          <w:color w:val="auto"/>
          <w:kern w:val="0"/>
          <w:sz w:val="32"/>
          <w:szCs w:val="32"/>
          <w:highlight w:val="none"/>
          <w:lang w:val="en-US" w:eastAsia="zh-CN" w:bidi="ar-SA"/>
        </w:rPr>
        <w:t xml:space="preserve">第十七条【零售经营批准证书变更】 </w:t>
      </w:r>
      <w:r>
        <w:rPr>
          <w:rFonts w:hint="eastAsia" w:ascii="仿宋_GB2312" w:hAnsi="仿宋_GB2312" w:eastAsia="仿宋_GB2312" w:cs="仿宋_GB2312"/>
          <w:bCs w:val="0"/>
          <w:color w:val="auto"/>
          <w:kern w:val="2"/>
          <w:sz w:val="32"/>
          <w:szCs w:val="32"/>
          <w:highlight w:val="none"/>
          <w:lang w:val="en-US" w:eastAsia="zh-CN" w:bidi="ar-SA"/>
        </w:rPr>
        <w:t>成品油零售经营企业要求变更成品油零售经营批准证书有关事项的，应当向作出许可决定的各市级商务部门部门提交变更申请，经核准后予以换发成品油零售经营批准证书。变更申请应明确变更事项、变更原因等内容，并提交相关证明材料并加盖公章。</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企业申请变更名称应提交以下材料：</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（一）《成品油零售经营批准证书变更申请表》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详见附表2</w:t>
      </w:r>
      <w:r>
        <w:rPr>
          <w:rFonts w:hint="eastAsia" w:ascii="仿宋_GB2312" w:hAnsi="仿宋_GB2312" w:eastAsia="仿宋_GB2312" w:cs="仿宋_GB2312"/>
          <w:color w:val="auto"/>
          <w:sz w:val="32"/>
          <w:szCs w:val="32"/>
          <w:highlight w:val="none"/>
          <w:lang w:eastAsia="zh-CN"/>
        </w:rPr>
        <w:t>）</w:t>
      </w:r>
      <w:r>
        <w:rPr>
          <w:rFonts w:hint="eastAsia" w:ascii="仿宋_GB2312" w:hAnsi="仿宋" w:eastAsia="仿宋_GB2312"/>
          <w:color w:val="auto"/>
          <w:kern w:val="0"/>
          <w:sz w:val="32"/>
          <w:szCs w:val="32"/>
        </w:rPr>
        <w:t>；</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（二）成品油零售经营批准证书正副本原件；</w:t>
      </w:r>
    </w:p>
    <w:p>
      <w:pPr>
        <w:pageBreakBefore w:val="0"/>
        <w:kinsoku/>
        <w:overflowPunct w:val="0"/>
        <w:topLinePunct w:val="0"/>
        <w:bidi w:val="0"/>
        <w:snapToGrid/>
        <w:spacing w:line="560" w:lineRule="exact"/>
        <w:ind w:firstLine="640" w:firstLineChars="200"/>
        <w:textAlignment w:val="auto"/>
        <w:rPr>
          <w:rFonts w:hint="eastAsia" w:ascii="仿宋_GB2312" w:hAnsi="仿宋" w:eastAsia="仿宋_GB2312"/>
          <w:color w:val="auto"/>
          <w:kern w:val="0"/>
          <w:sz w:val="32"/>
          <w:szCs w:val="32"/>
        </w:rPr>
      </w:pPr>
      <w:r>
        <w:rPr>
          <w:rFonts w:hint="eastAsia" w:ascii="仿宋_GB2312" w:hAnsi="仿宋" w:eastAsia="仿宋_GB2312"/>
          <w:color w:val="auto"/>
          <w:kern w:val="0"/>
          <w:sz w:val="32"/>
          <w:szCs w:val="32"/>
        </w:rPr>
        <w:t>（三）《营业执照》《企业法人营业执照》或船籍管理部门的船舶名称变更证明复印件。</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企业申请变更地址应提交以下材料：</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（一）《成品油零售经营批准证书变更申请表》；</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（二）成品油零售经营批准证书正副本原件；</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（三）不涉及迁建的加油站地址更名，应提供所在地相关部门出具的地址更名公告；</w:t>
      </w:r>
    </w:p>
    <w:p>
      <w:pPr>
        <w:pageBreakBefore w:val="0"/>
        <w:kinsoku/>
        <w:overflowPunct w:val="0"/>
        <w:topLinePunct w:val="0"/>
        <w:bidi w:val="0"/>
        <w:snapToGrid/>
        <w:spacing w:line="560" w:lineRule="exact"/>
        <w:ind w:firstLine="640" w:firstLineChars="200"/>
        <w:textAlignment w:val="auto"/>
        <w:rPr>
          <w:rFonts w:hint="eastAsia" w:ascii="仿宋_GB2312" w:hAnsi="仿宋" w:eastAsia="仿宋_GB2312"/>
          <w:color w:val="auto"/>
          <w:kern w:val="0"/>
          <w:sz w:val="32"/>
          <w:szCs w:val="32"/>
        </w:rPr>
      </w:pPr>
      <w:r>
        <w:rPr>
          <w:rFonts w:hint="eastAsia" w:ascii="仿宋_GB2312" w:hAnsi="仿宋" w:eastAsia="仿宋_GB2312"/>
          <w:color w:val="auto"/>
          <w:kern w:val="0"/>
          <w:sz w:val="32"/>
          <w:szCs w:val="32"/>
        </w:rPr>
        <w:t>（四）涉及迁建的加油站地址变更，应提供新</w:t>
      </w:r>
      <w:r>
        <w:rPr>
          <w:rFonts w:hint="eastAsia" w:ascii="仿宋_GB2312" w:hAnsi="仿宋" w:eastAsia="仿宋_GB2312"/>
          <w:color w:val="auto"/>
          <w:kern w:val="0"/>
          <w:sz w:val="32"/>
          <w:szCs w:val="32"/>
          <w:lang w:eastAsia="zh-CN"/>
        </w:rPr>
        <w:t>（</w:t>
      </w:r>
      <w:r>
        <w:rPr>
          <w:rFonts w:hint="eastAsia" w:ascii="仿宋_GB2312" w:hAnsi="仿宋" w:eastAsia="仿宋_GB2312"/>
          <w:color w:val="auto"/>
          <w:kern w:val="0"/>
          <w:sz w:val="32"/>
          <w:szCs w:val="32"/>
        </w:rPr>
        <w:t>迁</w:t>
      </w:r>
      <w:r>
        <w:rPr>
          <w:rFonts w:hint="eastAsia" w:ascii="仿宋_GB2312" w:hAnsi="仿宋" w:eastAsia="仿宋_GB2312"/>
          <w:color w:val="auto"/>
          <w:kern w:val="0"/>
          <w:sz w:val="32"/>
          <w:szCs w:val="32"/>
          <w:lang w:eastAsia="zh-CN"/>
        </w:rPr>
        <w:t>）</w:t>
      </w:r>
      <w:r>
        <w:rPr>
          <w:rFonts w:hint="eastAsia" w:ascii="仿宋_GB2312" w:hAnsi="仿宋" w:eastAsia="仿宋_GB2312"/>
          <w:color w:val="auto"/>
          <w:kern w:val="0"/>
          <w:sz w:val="32"/>
          <w:szCs w:val="32"/>
        </w:rPr>
        <w:t>建成品油零售经营网点规划确认文件和相关部门的验收合格证明。</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企业申请变更法定代表人</w:t>
      </w:r>
      <w:r>
        <w:rPr>
          <w:rFonts w:hint="eastAsia" w:ascii="仿宋_GB2312" w:hAnsi="仿宋" w:eastAsia="仿宋_GB2312"/>
          <w:color w:val="auto"/>
          <w:kern w:val="0"/>
          <w:sz w:val="32"/>
          <w:szCs w:val="32"/>
          <w:lang w:eastAsia="zh-CN"/>
        </w:rPr>
        <w:t>（</w:t>
      </w:r>
      <w:r>
        <w:rPr>
          <w:rFonts w:hint="eastAsia" w:ascii="仿宋_GB2312" w:hAnsi="仿宋" w:eastAsia="仿宋_GB2312"/>
          <w:color w:val="auto"/>
          <w:kern w:val="0"/>
          <w:sz w:val="32"/>
          <w:szCs w:val="32"/>
        </w:rPr>
        <w:t>或负责人</w:t>
      </w:r>
      <w:r>
        <w:rPr>
          <w:rFonts w:hint="eastAsia" w:ascii="仿宋_GB2312" w:hAnsi="仿宋" w:eastAsia="仿宋_GB2312"/>
          <w:color w:val="auto"/>
          <w:kern w:val="0"/>
          <w:sz w:val="32"/>
          <w:szCs w:val="32"/>
          <w:lang w:eastAsia="zh-CN"/>
        </w:rPr>
        <w:t>）</w:t>
      </w:r>
      <w:r>
        <w:rPr>
          <w:rFonts w:hint="eastAsia" w:ascii="仿宋_GB2312" w:hAnsi="仿宋" w:eastAsia="仿宋_GB2312"/>
          <w:color w:val="auto"/>
          <w:kern w:val="0"/>
          <w:sz w:val="32"/>
          <w:szCs w:val="32"/>
        </w:rPr>
        <w:t>应提交以下材料：</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（一）《成品油零售经营批准证书变更申请表》；</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（二）成品油零售经营批准证书正副本原件；</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（三）新法定代表人</w:t>
      </w:r>
      <w:r>
        <w:rPr>
          <w:rFonts w:hint="eastAsia" w:ascii="仿宋_GB2312" w:hAnsi="仿宋" w:eastAsia="仿宋_GB2312"/>
          <w:color w:val="auto"/>
          <w:kern w:val="0"/>
          <w:sz w:val="32"/>
          <w:szCs w:val="32"/>
          <w:lang w:eastAsia="zh-CN"/>
        </w:rPr>
        <w:t>（</w:t>
      </w:r>
      <w:r>
        <w:rPr>
          <w:rFonts w:hint="eastAsia" w:ascii="仿宋_GB2312" w:hAnsi="仿宋" w:eastAsia="仿宋_GB2312"/>
          <w:color w:val="auto"/>
          <w:kern w:val="0"/>
          <w:sz w:val="32"/>
          <w:szCs w:val="32"/>
        </w:rPr>
        <w:t>负责人</w:t>
      </w:r>
      <w:r>
        <w:rPr>
          <w:rFonts w:hint="eastAsia" w:ascii="仿宋_GB2312" w:hAnsi="仿宋" w:eastAsia="仿宋_GB2312"/>
          <w:color w:val="auto"/>
          <w:kern w:val="0"/>
          <w:sz w:val="32"/>
          <w:szCs w:val="32"/>
          <w:lang w:eastAsia="zh-CN"/>
        </w:rPr>
        <w:t>）</w:t>
      </w:r>
      <w:r>
        <w:rPr>
          <w:rFonts w:hint="eastAsia" w:ascii="仿宋_GB2312" w:hAnsi="仿宋" w:eastAsia="仿宋_GB2312"/>
          <w:color w:val="auto"/>
          <w:kern w:val="0"/>
          <w:sz w:val="32"/>
          <w:szCs w:val="32"/>
        </w:rPr>
        <w:t>身份证件复印件。</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企业遗失、损毁《成品油零售经营批准证书》的，</w:t>
      </w:r>
      <w:r>
        <w:rPr>
          <w:rFonts w:hint="eastAsia" w:ascii="仿宋_GB2312" w:hAnsi="仿宋" w:eastAsia="仿宋_GB2312"/>
          <w:color w:val="auto"/>
          <w:kern w:val="0"/>
          <w:sz w:val="32"/>
          <w:szCs w:val="32"/>
        </w:rPr>
        <w:t>应提交</w:t>
      </w:r>
      <w:r>
        <w:rPr>
          <w:rFonts w:hint="eastAsia" w:ascii="仿宋_GB2312" w:hAnsi="仿宋" w:eastAsia="仿宋_GB2312"/>
          <w:color w:val="auto"/>
          <w:kern w:val="0"/>
          <w:sz w:val="32"/>
          <w:szCs w:val="32"/>
        </w:rPr>
        <w:t>以下材料：</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（一）申请企业关于证书遗失、损毁的说明文件；</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（二）在当地媒体刊登的挂失声明或提交损坏的批准证书原件；</w:t>
      </w:r>
    </w:p>
    <w:p>
      <w:pPr>
        <w:pageBreakBefore w:val="0"/>
        <w:numPr>
          <w:ilvl w:val="0"/>
          <w:numId w:val="0"/>
        </w:numPr>
        <w:kinsoku/>
        <w:topLinePunct w:val="0"/>
        <w:bidi w:val="0"/>
        <w:snapToGrid/>
        <w:spacing w:line="560" w:lineRule="exact"/>
        <w:ind w:firstLine="640" w:firstLineChars="200"/>
        <w:textAlignment w:val="auto"/>
        <w:rPr>
          <w:rFonts w:hint="eastAsia" w:ascii="仿宋_GB2312" w:hAnsi="仿宋_GB2312" w:eastAsia="仿宋_GB2312" w:cs="仿宋_GB2312"/>
          <w:bCs w:val="0"/>
          <w:color w:val="auto"/>
          <w:kern w:val="2"/>
          <w:sz w:val="32"/>
          <w:szCs w:val="32"/>
          <w:highlight w:val="none"/>
          <w:lang w:val="en-US" w:eastAsia="zh-CN" w:bidi="ar-SA"/>
        </w:rPr>
      </w:pPr>
      <w:r>
        <w:rPr>
          <w:rFonts w:hint="eastAsia" w:ascii="仿宋_GB2312" w:hAnsi="仿宋" w:eastAsia="仿宋_GB2312"/>
          <w:color w:val="auto"/>
          <w:kern w:val="0"/>
          <w:sz w:val="32"/>
          <w:szCs w:val="32"/>
        </w:rPr>
        <w:t>（三）《营业执照》或《企业法人营业执照》复印件。</w:t>
      </w:r>
    </w:p>
    <w:p>
      <w:pPr>
        <w:pageBreakBefore w:val="0"/>
        <w:numPr>
          <w:ilvl w:val="0"/>
          <w:numId w:val="0"/>
        </w:numPr>
        <w:kinsoku/>
        <w:topLinePunct w:val="0"/>
        <w:bidi w:val="0"/>
        <w:snapToGrid/>
        <w:spacing w:line="560" w:lineRule="exact"/>
        <w:ind w:firstLine="640" w:firstLineChars="200"/>
        <w:textAlignment w:val="auto"/>
        <w:rPr>
          <w:rFonts w:hint="eastAsia" w:ascii="仿宋_GB2312" w:hAnsi="仿宋_GB2312" w:eastAsia="仿宋_GB2312" w:cs="仿宋_GB2312"/>
          <w:bCs w:val="0"/>
          <w:color w:val="auto"/>
          <w:kern w:val="2"/>
          <w:sz w:val="32"/>
          <w:szCs w:val="32"/>
          <w:highlight w:val="none"/>
          <w:lang w:val="en-US" w:eastAsia="zh-CN" w:bidi="ar-SA"/>
        </w:rPr>
      </w:pPr>
      <w:r>
        <w:rPr>
          <w:rFonts w:hint="eastAsia" w:ascii="仿宋_GB2312" w:hAnsi="仿宋_GB2312" w:eastAsia="仿宋_GB2312" w:cs="仿宋_GB2312"/>
          <w:bCs w:val="0"/>
          <w:color w:val="auto"/>
          <w:kern w:val="2"/>
          <w:sz w:val="32"/>
          <w:szCs w:val="32"/>
          <w:highlight w:val="none"/>
          <w:lang w:val="en-US" w:eastAsia="zh-CN" w:bidi="ar-SA"/>
        </w:rPr>
        <w:t>以租赁方式从事成品油零售经营的，承租方应当自租赁合同签订之日起30日内申请办理成品油零售经营资格变更。各市级商务部门部门收到变更申请后，及时进行审核，对符合要求的予以变更。</w:t>
      </w:r>
    </w:p>
    <w:p>
      <w:pPr>
        <w:pageBreakBefore w:val="0"/>
        <w:numPr>
          <w:ilvl w:val="0"/>
          <w:numId w:val="0"/>
        </w:numPr>
        <w:kinsoku/>
        <w:topLinePunct w:val="0"/>
        <w:bidi w:val="0"/>
        <w:snapToGrid/>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楷体_GB2312" w:cs="Times New Roman"/>
          <w:b/>
          <w:bCs/>
          <w:color w:val="auto"/>
          <w:kern w:val="0"/>
          <w:sz w:val="32"/>
          <w:szCs w:val="32"/>
          <w:highlight w:val="none"/>
          <w:lang w:val="en-US" w:eastAsia="zh-CN" w:bidi="ar-SA"/>
        </w:rPr>
        <w:t>第十八条【备案及许可收费规定】</w:t>
      </w:r>
      <w:r>
        <w:rPr>
          <w:rFonts w:ascii="Segoe UI" w:hAnsi="Segoe UI" w:eastAsia="Segoe UI" w:cs="Segoe UI"/>
          <w:i w:val="0"/>
          <w:caps w:val="0"/>
          <w:color w:val="auto"/>
          <w:spacing w:val="0"/>
          <w:sz w:val="27"/>
          <w:szCs w:val="27"/>
          <w:highlight w:val="none"/>
          <w:shd w:val="clear" w:color="auto" w:fill="FFFFFF"/>
        </w:rPr>
        <w:t xml:space="preserve"> </w:t>
      </w:r>
      <w:r>
        <w:rPr>
          <w:rFonts w:hint="eastAsia" w:ascii="仿宋_GB2312" w:hAnsi="仿宋_GB2312" w:eastAsia="仿宋_GB2312" w:cs="仿宋_GB2312"/>
          <w:color w:val="auto"/>
          <w:sz w:val="32"/>
          <w:szCs w:val="32"/>
          <w:highlight w:val="none"/>
          <w:lang w:eastAsia="zh-CN"/>
        </w:rPr>
        <w:t>各级商务部门</w:t>
      </w:r>
      <w:r>
        <w:rPr>
          <w:rFonts w:hint="eastAsia" w:ascii="仿宋_GB2312" w:hAnsi="仿宋_GB2312" w:eastAsia="仿宋_GB2312" w:cs="仿宋_GB2312"/>
          <w:color w:val="auto"/>
          <w:sz w:val="32"/>
          <w:szCs w:val="32"/>
          <w:highlight w:val="none"/>
        </w:rPr>
        <w:t>部门及其工作人员在实施成品油批发、仓储经营企业备案及零售经营资格许可过程中，不得收取任何费用。如有违反，依法追究相关人员责任。</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ascii="Times New Roman" w:hAnsi="Times New Roman" w:eastAsia="黑体" w:cs="Times New Roman"/>
          <w:color w:val="auto"/>
          <w:kern w:val="0"/>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ascii="Times New Roman" w:hAnsi="Times New Roman" w:eastAsia="黑体" w:cs="Times New Roman"/>
          <w:color w:val="auto"/>
          <w:kern w:val="0"/>
          <w:sz w:val="32"/>
          <w:szCs w:val="32"/>
          <w:highlight w:val="none"/>
        </w:rPr>
      </w:pPr>
      <w:r>
        <w:rPr>
          <w:rFonts w:ascii="Times New Roman" w:hAnsi="Times New Roman" w:eastAsia="黑体" w:cs="Times New Roman"/>
          <w:color w:val="auto"/>
          <w:kern w:val="0"/>
          <w:sz w:val="32"/>
          <w:szCs w:val="32"/>
          <w:highlight w:val="none"/>
        </w:rPr>
        <w:t>第三章 企业经营规范</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仿宋_GB2312" w:hAnsi="仿宋_GB2312" w:eastAsia="仿宋_GB2312" w:cs="仿宋_GB2312"/>
          <w:color w:val="auto"/>
          <w:sz w:val="32"/>
          <w:szCs w:val="32"/>
          <w:highlight w:val="none"/>
        </w:rPr>
      </w:pPr>
      <w:r>
        <w:rPr>
          <w:rFonts w:eastAsia="楷体_GB2312"/>
          <w:b/>
          <w:bCs/>
          <w:color w:val="auto"/>
          <w:kern w:val="0"/>
          <w:sz w:val="32"/>
          <w:szCs w:val="32"/>
          <w:highlight w:val="none"/>
        </w:rPr>
        <w:t>第十</w:t>
      </w:r>
      <w:r>
        <w:rPr>
          <w:rFonts w:hint="eastAsia" w:eastAsia="楷体_GB2312"/>
          <w:b/>
          <w:bCs/>
          <w:color w:val="auto"/>
          <w:kern w:val="0"/>
          <w:sz w:val="32"/>
          <w:szCs w:val="32"/>
          <w:highlight w:val="none"/>
          <w:lang w:eastAsia="zh-CN"/>
        </w:rPr>
        <w:t>九</w:t>
      </w:r>
      <w:r>
        <w:rPr>
          <w:rFonts w:eastAsia="楷体_GB2312"/>
          <w:b/>
          <w:bCs/>
          <w:color w:val="auto"/>
          <w:kern w:val="0"/>
          <w:sz w:val="32"/>
          <w:szCs w:val="32"/>
          <w:highlight w:val="none"/>
        </w:rPr>
        <w:t>条【</w:t>
      </w:r>
      <w:r>
        <w:rPr>
          <w:rFonts w:hint="eastAsia" w:eastAsia="楷体_GB2312"/>
          <w:b/>
          <w:bCs/>
          <w:color w:val="auto"/>
          <w:kern w:val="0"/>
          <w:sz w:val="32"/>
          <w:szCs w:val="32"/>
          <w:highlight w:val="none"/>
          <w:lang w:eastAsia="zh-CN"/>
        </w:rPr>
        <w:t>经营合规与</w:t>
      </w:r>
      <w:r>
        <w:rPr>
          <w:rFonts w:hint="eastAsia" w:eastAsia="楷体_GB2312"/>
          <w:b/>
          <w:bCs/>
          <w:color w:val="auto"/>
          <w:kern w:val="0"/>
          <w:sz w:val="32"/>
          <w:szCs w:val="32"/>
          <w:highlight w:val="none"/>
        </w:rPr>
        <w:t>台账</w:t>
      </w:r>
      <w:r>
        <w:rPr>
          <w:rFonts w:hint="eastAsia" w:eastAsia="楷体_GB2312"/>
          <w:b/>
          <w:bCs/>
          <w:color w:val="auto"/>
          <w:kern w:val="0"/>
          <w:sz w:val="32"/>
          <w:szCs w:val="32"/>
          <w:highlight w:val="none"/>
          <w:lang w:eastAsia="zh-CN"/>
        </w:rPr>
        <w:t>管理</w:t>
      </w:r>
      <w:r>
        <w:rPr>
          <w:rFonts w:eastAsia="楷体_GB2312"/>
          <w:b/>
          <w:bCs/>
          <w:color w:val="auto"/>
          <w:kern w:val="0"/>
          <w:sz w:val="32"/>
          <w:szCs w:val="32"/>
          <w:highlight w:val="none"/>
        </w:rPr>
        <w:t>】</w:t>
      </w:r>
      <w:r>
        <w:rPr>
          <w:rFonts w:hint="eastAsia" w:eastAsia="楷体_GB2312"/>
          <w:b/>
          <w:bCs/>
          <w:color w:val="auto"/>
          <w:kern w:val="0"/>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成品油经营企业应当符合贵州省自然资源、规划、建设、质量、计量、环保、安全生产、消防、治安反恐、商务、税务、交通运输、气象等方面法律法规和标准要求。建立油品购销存和出入库台账，据实核算数据，完善油品来源、销售去向、检验报告、</w:t>
      </w:r>
      <w:r>
        <w:rPr>
          <w:rFonts w:hint="eastAsia" w:ascii="仿宋_GB2312" w:hAnsi="宋体" w:eastAsia="仿宋_GB2312" w:cs="宋体"/>
          <w:color w:val="auto"/>
          <w:sz w:val="32"/>
          <w:szCs w:val="32"/>
          <w:highlight w:val="none"/>
        </w:rPr>
        <w:t>油品合格证、</w:t>
      </w:r>
      <w:r>
        <w:rPr>
          <w:rFonts w:hint="eastAsia" w:ascii="仿宋_GB2312" w:hAnsi="仿宋_GB2312" w:eastAsia="仿宋_GB2312" w:cs="仿宋_GB2312"/>
          <w:color w:val="auto"/>
          <w:sz w:val="32"/>
          <w:szCs w:val="32"/>
          <w:highlight w:val="none"/>
        </w:rPr>
        <w:t>检查记录等凭证材料档案。台账和档案应妥善保存，保存期限不少于5年，以备相关部门检查。</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严格执行散装汽油购销实名登记制度。购买散装汽油的，应遵守以下规定：</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零售网点</w:t>
      </w:r>
      <w:r>
        <w:rPr>
          <w:rFonts w:hint="eastAsia" w:ascii="仿宋_GB2312" w:hAnsi="仿宋_GB2312" w:eastAsia="仿宋_GB2312" w:cs="仿宋_GB2312"/>
          <w:color w:val="auto"/>
          <w:sz w:val="32"/>
          <w:szCs w:val="32"/>
          <w:highlight w:val="none"/>
          <w:lang w:val="en-US" w:eastAsia="zh-CN"/>
        </w:rPr>
        <w:t>须全面接入并统一规范使用“贵州省散装油综合管理平台”，安装可覆盖零售网点所有加注设施设备的高清视频监控（影像储存时间≥90天）及与公安联网的一键报警装置；</w:t>
      </w:r>
    </w:p>
    <w:p>
      <w:pPr>
        <w:pStyle w:val="2"/>
        <w:pageBreakBefore w:val="0"/>
        <w:kinsoku/>
        <w:overflowPunct/>
        <w:topLinePunct w:val="0"/>
        <w:bidi w:val="0"/>
        <w:snapToGrid/>
        <w:spacing w:line="560" w:lineRule="exact"/>
        <w:textAlignment w:val="auto"/>
        <w:rPr>
          <w:rFonts w:hint="default" w:ascii="仿宋_GB2312" w:hAnsi="仿宋_GB2312" w:eastAsia="仿宋_GB2312" w:cs="仿宋_GB2312"/>
          <w:bCs w:val="0"/>
          <w:color w:val="auto"/>
          <w:kern w:val="2"/>
          <w:sz w:val="32"/>
          <w:szCs w:val="32"/>
          <w:highlight w:val="none"/>
          <w:lang w:val="en-US" w:eastAsia="zh-CN" w:bidi="ar-SA"/>
        </w:rPr>
      </w:pPr>
      <w:r>
        <w:rPr>
          <w:rFonts w:hint="eastAsia" w:ascii="仿宋_GB2312" w:hAnsi="仿宋_GB2312" w:eastAsia="仿宋_GB2312" w:cs="仿宋_GB2312"/>
          <w:bCs w:val="0"/>
          <w:color w:val="auto"/>
          <w:kern w:val="2"/>
          <w:sz w:val="32"/>
          <w:szCs w:val="32"/>
          <w:highlight w:val="none"/>
          <w:lang w:val="en-US" w:eastAsia="zh-CN" w:bidi="ar-SA"/>
        </w:rPr>
        <w:t>（二）</w:t>
      </w:r>
      <w:r>
        <w:rPr>
          <w:rFonts w:hint="eastAsia" w:ascii="仿宋_GB2312" w:hAnsi="仿宋_GB2312" w:eastAsia="仿宋_GB2312" w:cs="仿宋_GB2312"/>
          <w:color w:val="auto"/>
          <w:sz w:val="32"/>
          <w:szCs w:val="32"/>
          <w:highlight w:val="none"/>
          <w:lang w:val="en-US" w:eastAsia="zh-CN"/>
        </w:rPr>
        <w:t>个人</w:t>
      </w:r>
      <w:r>
        <w:rPr>
          <w:rFonts w:hint="eastAsia" w:ascii="仿宋_GB2312" w:hAnsi="仿宋_GB2312" w:eastAsia="仿宋_GB2312" w:cs="仿宋_GB2312"/>
          <w:color w:val="auto"/>
          <w:sz w:val="32"/>
          <w:szCs w:val="32"/>
          <w:highlight w:val="none"/>
        </w:rPr>
        <w:t>购买的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Cs w:val="0"/>
          <w:color w:val="auto"/>
          <w:kern w:val="2"/>
          <w:sz w:val="32"/>
          <w:szCs w:val="32"/>
          <w:highlight w:val="none"/>
          <w:lang w:val="en-US" w:eastAsia="zh-CN" w:bidi="ar-SA"/>
        </w:rPr>
        <w:t>因正常生产、生活需要购买散装燃油的个人，</w:t>
      </w:r>
      <w:r>
        <w:rPr>
          <w:rFonts w:hint="eastAsia" w:ascii="仿宋_GB2312" w:hAnsi="仿宋_GB2312" w:eastAsia="仿宋_GB2312" w:cs="仿宋_GB2312"/>
          <w:color w:val="auto"/>
          <w:sz w:val="32"/>
          <w:szCs w:val="32"/>
          <w:highlight w:val="none"/>
          <w:lang w:val="en-US" w:eastAsia="zh-CN"/>
        </w:rPr>
        <w:t>须</w:t>
      </w:r>
      <w:r>
        <w:rPr>
          <w:rFonts w:hint="eastAsia" w:ascii="仿宋_GB2312" w:hAnsi="仿宋_GB2312" w:eastAsia="仿宋_GB2312" w:cs="仿宋_GB2312"/>
          <w:color w:val="auto"/>
          <w:sz w:val="32"/>
          <w:szCs w:val="32"/>
          <w:highlight w:val="none"/>
        </w:rPr>
        <w:t>提供本人身份证件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Cs w:val="0"/>
          <w:color w:val="auto"/>
          <w:kern w:val="2"/>
          <w:sz w:val="32"/>
          <w:szCs w:val="32"/>
          <w:highlight w:val="none"/>
          <w:lang w:val="en-US" w:eastAsia="zh-CN" w:bidi="ar-SA"/>
        </w:rPr>
        <w:t>由零售网点督促购买者通过微信扫描散装燃油购买登记二维码进入“贵州110”小程序等方式进行人脸识别认证、购买用途、数量登记后购买；</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单位购买的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经办人</w:t>
      </w:r>
      <w:r>
        <w:rPr>
          <w:rFonts w:hint="eastAsia" w:ascii="仿宋_GB2312" w:hAnsi="仿宋_GB2312" w:eastAsia="仿宋_GB2312" w:cs="仿宋_GB2312"/>
          <w:color w:val="auto"/>
          <w:sz w:val="32"/>
          <w:szCs w:val="32"/>
          <w:highlight w:val="none"/>
          <w:lang w:val="en-US" w:eastAsia="zh-CN"/>
        </w:rPr>
        <w:t>须</w:t>
      </w:r>
      <w:r>
        <w:rPr>
          <w:rFonts w:hint="eastAsia" w:ascii="仿宋_GB2312" w:hAnsi="仿宋_GB2312" w:eastAsia="仿宋_GB2312" w:cs="仿宋_GB2312"/>
          <w:color w:val="auto"/>
          <w:sz w:val="32"/>
          <w:szCs w:val="32"/>
          <w:highlight w:val="none"/>
        </w:rPr>
        <w:t>提供单位营业执照复印件</w:t>
      </w:r>
      <w:r>
        <w:rPr>
          <w:rFonts w:hint="eastAsia" w:ascii="仿宋_GB2312" w:hAnsi="仿宋_GB2312" w:eastAsia="仿宋_GB2312" w:cs="仿宋_GB2312"/>
          <w:color w:val="auto"/>
          <w:sz w:val="32"/>
          <w:szCs w:val="32"/>
          <w:highlight w:val="none"/>
          <w:lang w:val="en-US" w:eastAsia="zh-CN"/>
        </w:rPr>
        <w:t>、委托函、</w:t>
      </w:r>
      <w:r>
        <w:rPr>
          <w:rFonts w:hint="eastAsia" w:ascii="仿宋_GB2312" w:hAnsi="仿宋_GB2312" w:eastAsia="仿宋_GB2312" w:cs="仿宋_GB2312"/>
          <w:color w:val="auto"/>
          <w:sz w:val="32"/>
          <w:szCs w:val="32"/>
          <w:highlight w:val="none"/>
        </w:rPr>
        <w:t>介绍信（注明用途、数量）、和</w:t>
      </w:r>
      <w:r>
        <w:rPr>
          <w:rFonts w:hint="eastAsia" w:ascii="仿宋_GB2312" w:hAnsi="仿宋_GB2312" w:eastAsia="仿宋_GB2312" w:cs="仿宋_GB2312"/>
          <w:color w:val="auto"/>
          <w:sz w:val="32"/>
          <w:szCs w:val="32"/>
          <w:highlight w:val="none"/>
          <w:lang w:val="en-US" w:eastAsia="zh-CN"/>
        </w:rPr>
        <w:t>经办人</w:t>
      </w:r>
      <w:r>
        <w:rPr>
          <w:rFonts w:hint="eastAsia" w:ascii="仿宋_GB2312" w:hAnsi="仿宋_GB2312" w:eastAsia="仿宋_GB2312" w:cs="仿宋_GB2312"/>
          <w:color w:val="auto"/>
          <w:sz w:val="32"/>
          <w:szCs w:val="32"/>
          <w:highlight w:val="none"/>
        </w:rPr>
        <w:t>本人身份证件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通过“贵州110”小程序上传相关证明材料，实名登记后购买；</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lang w:val="en-US" w:eastAsia="zh-CN"/>
        </w:rPr>
        <w:t>盛装容器必须为防静电金属材质。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ascii="Times New Roman" w:hAnsi="Times New Roman" w:eastAsia="仿宋_GB2312" w:cs="Times New Roman"/>
          <w:color w:val="auto"/>
          <w:kern w:val="0"/>
          <w:sz w:val="32"/>
          <w:szCs w:val="32"/>
          <w:highlight w:val="none"/>
        </w:rPr>
      </w:pPr>
      <w:r>
        <w:rPr>
          <w:rFonts w:ascii="Times New Roman" w:hAnsi="Times New Roman" w:eastAsia="楷体_GB2312" w:cs="Times New Roman"/>
          <w:b/>
          <w:bCs/>
          <w:color w:val="auto"/>
          <w:kern w:val="0"/>
          <w:sz w:val="32"/>
          <w:szCs w:val="32"/>
          <w:highlight w:val="none"/>
          <w:lang w:val="en-US" w:eastAsia="zh-CN" w:bidi="ar-SA"/>
        </w:rPr>
        <w:t>第二十条</w:t>
      </w:r>
      <w:r>
        <w:rPr>
          <w:rFonts w:hint="eastAsia" w:ascii="Times New Roman" w:hAnsi="Times New Roman" w:eastAsia="楷体_GB2312" w:cs="Times New Roman"/>
          <w:b/>
          <w:bCs/>
          <w:color w:val="auto"/>
          <w:kern w:val="0"/>
          <w:sz w:val="32"/>
          <w:szCs w:val="32"/>
          <w:highlight w:val="none"/>
          <w:lang w:val="en-US" w:eastAsia="zh-CN" w:bidi="ar-SA"/>
        </w:rPr>
        <w:t>【安全管</w:t>
      </w:r>
      <w:r>
        <w:rPr>
          <w:rFonts w:ascii="Times New Roman" w:hAnsi="Times New Roman" w:eastAsia="楷体_GB2312" w:cs="Times New Roman"/>
          <w:b/>
          <w:bCs/>
          <w:color w:val="auto"/>
          <w:kern w:val="0"/>
          <w:sz w:val="32"/>
          <w:szCs w:val="32"/>
          <w:highlight w:val="none"/>
          <w:lang w:val="en-US" w:eastAsia="zh-CN" w:bidi="ar-SA"/>
        </w:rPr>
        <w:t>理制度与应急处置</w:t>
      </w:r>
      <w:r>
        <w:rPr>
          <w:rFonts w:hint="eastAsia" w:ascii="Times New Roman" w:hAnsi="Times New Roman" w:eastAsia="楷体_GB2312" w:cs="Times New Roman"/>
          <w:b/>
          <w:bCs/>
          <w:color w:val="auto"/>
          <w:kern w:val="0"/>
          <w:sz w:val="32"/>
          <w:szCs w:val="32"/>
          <w:highlight w:val="none"/>
          <w:lang w:val="en-US" w:eastAsia="zh-CN" w:bidi="ar-SA"/>
        </w:rPr>
        <w:t>】</w:t>
      </w:r>
      <w:r>
        <w:rPr>
          <w:rFonts w:hint="eastAsia" w:ascii="Segoe UI" w:hAnsi="Segoe UI" w:eastAsia="宋体" w:cs="Segoe UI"/>
          <w:i w:val="0"/>
          <w:caps w:val="0"/>
          <w:color w:val="auto"/>
          <w:spacing w:val="0"/>
          <w:sz w:val="27"/>
          <w:szCs w:val="27"/>
          <w:highlight w:val="none"/>
          <w:shd w:val="clear" w:color="auto" w:fill="FFFFFF"/>
          <w:lang w:val="en-US" w:eastAsia="zh-CN"/>
        </w:rPr>
        <w:t xml:space="preserve"> </w:t>
      </w:r>
      <w:r>
        <w:rPr>
          <w:rFonts w:ascii="Times New Roman" w:hAnsi="Times New Roman" w:eastAsia="仿宋_GB2312" w:cs="Times New Roman"/>
          <w:color w:val="auto"/>
          <w:kern w:val="0"/>
          <w:sz w:val="32"/>
          <w:szCs w:val="32"/>
          <w:highlight w:val="none"/>
        </w:rPr>
        <w:t>成品油经营企业应当建立健全安全生产管理制度、风险防控机制、隐患排查治理机制和质量、环境保护管理制度，结合贵州</w:t>
      </w:r>
      <w:r>
        <w:rPr>
          <w:rFonts w:hint="eastAsia" w:ascii="Times New Roman" w:hAnsi="Times New Roman" w:eastAsia="仿宋_GB2312" w:cs="Times New Roman"/>
          <w:color w:val="auto"/>
          <w:kern w:val="0"/>
          <w:sz w:val="32"/>
          <w:szCs w:val="32"/>
          <w:highlight w:val="none"/>
          <w:lang w:eastAsia="zh-CN"/>
        </w:rPr>
        <w:t>地质、气象特点，临山临水零售网点</w:t>
      </w:r>
      <w:r>
        <w:rPr>
          <w:rFonts w:ascii="Times New Roman" w:hAnsi="Times New Roman" w:eastAsia="仿宋_GB2312" w:cs="Times New Roman"/>
          <w:color w:val="auto"/>
          <w:kern w:val="0"/>
          <w:sz w:val="32"/>
          <w:szCs w:val="32"/>
          <w:highlight w:val="none"/>
        </w:rPr>
        <w:t>面临的自然灾害风险（如泥石流、山体滑坡</w:t>
      </w:r>
      <w:r>
        <w:rPr>
          <w:rFonts w:hint="eastAsia" w:ascii="Times New Roman" w:hAnsi="Times New Roman" w:eastAsia="仿宋_GB2312" w:cs="Times New Roman"/>
          <w:color w:val="auto"/>
          <w:kern w:val="0"/>
          <w:sz w:val="32"/>
          <w:szCs w:val="32"/>
          <w:highlight w:val="none"/>
          <w:lang w:eastAsia="zh-CN"/>
        </w:rPr>
        <w:t>、洪涝灾害</w:t>
      </w:r>
      <w:r>
        <w:rPr>
          <w:rFonts w:ascii="Times New Roman" w:hAnsi="Times New Roman" w:eastAsia="仿宋_GB2312" w:cs="Times New Roman"/>
          <w:color w:val="auto"/>
          <w:kern w:val="0"/>
          <w:sz w:val="32"/>
          <w:szCs w:val="32"/>
          <w:highlight w:val="none"/>
        </w:rPr>
        <w:t>等），制定针对性的风险防控和隐患排查措施。按照国家有关规定要求制定事故应急处置预案，定期对工作人员开展安全生产、应急处置等培训，定期开展安全自查。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ascii="Times New Roman" w:hAnsi="Times New Roman" w:eastAsia="仿宋_GB2312" w:cs="Times New Roman"/>
          <w:bCs w:val="0"/>
          <w:color w:val="auto"/>
          <w:kern w:val="0"/>
          <w:sz w:val="32"/>
          <w:szCs w:val="32"/>
          <w:highlight w:val="none"/>
          <w:lang w:val="en-US" w:eastAsia="zh-CN" w:bidi="ar-SA"/>
        </w:rPr>
      </w:pPr>
      <w:r>
        <w:rPr>
          <w:rFonts w:ascii="Times New Roman" w:hAnsi="Times New Roman" w:eastAsia="楷体_GB2312" w:cs="Times New Roman"/>
          <w:b/>
          <w:bCs/>
          <w:color w:val="auto"/>
          <w:kern w:val="0"/>
          <w:sz w:val="32"/>
          <w:szCs w:val="32"/>
          <w:highlight w:val="none"/>
          <w:lang w:val="en-US" w:eastAsia="zh-CN" w:bidi="ar-SA"/>
        </w:rPr>
        <w:t>第二十一条</w:t>
      </w:r>
      <w:r>
        <w:rPr>
          <w:rFonts w:hint="eastAsia" w:ascii="Times New Roman" w:hAnsi="Times New Roman" w:eastAsia="楷体_GB2312" w:cs="Times New Roman"/>
          <w:b/>
          <w:bCs/>
          <w:color w:val="auto"/>
          <w:kern w:val="0"/>
          <w:sz w:val="32"/>
          <w:szCs w:val="32"/>
          <w:highlight w:val="none"/>
          <w:lang w:val="en-US" w:eastAsia="zh-CN" w:bidi="ar-SA"/>
        </w:rPr>
        <w:t>【</w:t>
      </w:r>
      <w:r>
        <w:rPr>
          <w:rFonts w:ascii="Times New Roman" w:hAnsi="Times New Roman" w:eastAsia="楷体_GB2312" w:cs="Times New Roman"/>
          <w:b/>
          <w:bCs/>
          <w:color w:val="auto"/>
          <w:kern w:val="0"/>
          <w:sz w:val="32"/>
          <w:szCs w:val="32"/>
          <w:highlight w:val="none"/>
          <w:lang w:val="en-US" w:eastAsia="zh-CN" w:bidi="ar-SA"/>
        </w:rPr>
        <w:t>油品购销存数据报送</w:t>
      </w:r>
      <w:r>
        <w:rPr>
          <w:rFonts w:hint="eastAsia" w:ascii="Times New Roman" w:hAnsi="Times New Roman" w:eastAsia="楷体_GB2312" w:cs="Times New Roman"/>
          <w:b/>
          <w:bCs/>
          <w:color w:val="auto"/>
          <w:kern w:val="0"/>
          <w:sz w:val="32"/>
          <w:szCs w:val="32"/>
          <w:highlight w:val="none"/>
          <w:lang w:val="en-US" w:eastAsia="zh-CN" w:bidi="ar-SA"/>
        </w:rPr>
        <w:t>】</w:t>
      </w:r>
      <w:r>
        <w:rPr>
          <w:rFonts w:hint="eastAsia" w:ascii="Segoe UI" w:hAnsi="Segoe UI" w:eastAsia="宋体" w:cs="Segoe UI"/>
          <w:i w:val="0"/>
          <w:caps w:val="0"/>
          <w:color w:val="auto"/>
          <w:spacing w:val="0"/>
          <w:sz w:val="27"/>
          <w:szCs w:val="27"/>
          <w:highlight w:val="none"/>
          <w:shd w:val="clear" w:color="auto" w:fill="FFFFFF"/>
          <w:lang w:val="en-US" w:eastAsia="zh-CN"/>
        </w:rPr>
        <w:t xml:space="preserve"> </w:t>
      </w:r>
      <w:r>
        <w:rPr>
          <w:rFonts w:ascii="Times New Roman" w:hAnsi="Times New Roman" w:eastAsia="仿宋_GB2312" w:cs="Times New Roman"/>
          <w:bCs w:val="0"/>
          <w:color w:val="auto"/>
          <w:kern w:val="0"/>
          <w:sz w:val="32"/>
          <w:szCs w:val="32"/>
          <w:highlight w:val="none"/>
          <w:lang w:val="en-US" w:eastAsia="zh-CN" w:bidi="ar-SA"/>
        </w:rPr>
        <w:t>成品油经营企业应当按照统一格式，</w:t>
      </w:r>
      <w:r>
        <w:rPr>
          <w:rFonts w:hint="eastAsia" w:ascii="仿宋_GB2312" w:hAnsi="仿宋_GB2312" w:eastAsia="仿宋_GB2312" w:cs="仿宋_GB2312"/>
          <w:bCs w:val="0"/>
          <w:color w:val="auto"/>
          <w:kern w:val="0"/>
          <w:sz w:val="32"/>
          <w:szCs w:val="32"/>
          <w:highlight w:val="none"/>
          <w:lang w:val="en-US" w:eastAsia="zh-CN" w:bidi="ar-SA"/>
        </w:rPr>
        <w:t>每月10日前通过“全国石油市场管理应用”推送上月度油品购销存数据，不得提供虚假数据</w:t>
      </w:r>
      <w:r>
        <w:rPr>
          <w:rFonts w:ascii="Times New Roman" w:hAnsi="Times New Roman" w:eastAsia="仿宋_GB2312" w:cs="Times New Roman"/>
          <w:bCs w:val="0"/>
          <w:color w:val="auto"/>
          <w:kern w:val="0"/>
          <w:sz w:val="32"/>
          <w:szCs w:val="32"/>
          <w:highlight w:val="none"/>
          <w:lang w:val="en-US" w:eastAsia="zh-CN" w:bidi="ar-SA"/>
        </w:rPr>
        <w:t>。省商务厅及相关部门可通过数据比对、实地核查等方式，对企业报送数据的真实性进行检查，对提供虚假数据的企业依法进行处理。</w:t>
      </w:r>
    </w:p>
    <w:p>
      <w:pPr>
        <w:pageBreakBefore w:val="0"/>
        <w:kinsoku/>
        <w:topLinePunct w:val="0"/>
        <w:bidi w:val="0"/>
        <w:snapToGrid/>
        <w:spacing w:line="560" w:lineRule="exact"/>
        <w:ind w:firstLine="643" w:firstLineChars="200"/>
        <w:textAlignment w:val="auto"/>
        <w:rPr>
          <w:rFonts w:ascii="Times New Roman" w:hAnsi="Times New Roman" w:eastAsia="仿宋_GB2312" w:cs="Times New Roman"/>
          <w:color w:val="auto"/>
          <w:kern w:val="0"/>
          <w:sz w:val="32"/>
          <w:szCs w:val="32"/>
          <w:highlight w:val="none"/>
        </w:rPr>
      </w:pPr>
      <w:r>
        <w:rPr>
          <w:rFonts w:ascii="Times New Roman" w:hAnsi="Times New Roman" w:eastAsia="楷体_GB2312" w:cs="Times New Roman"/>
          <w:b/>
          <w:bCs/>
          <w:color w:val="auto"/>
          <w:kern w:val="0"/>
          <w:sz w:val="32"/>
          <w:szCs w:val="32"/>
          <w:highlight w:val="none"/>
          <w:lang w:val="en-US" w:eastAsia="zh-CN" w:bidi="ar-SA"/>
        </w:rPr>
        <w:t>第二十二条</w:t>
      </w:r>
      <w:r>
        <w:rPr>
          <w:rFonts w:hint="eastAsia" w:ascii="Times New Roman" w:hAnsi="Times New Roman" w:eastAsia="楷体_GB2312" w:cs="Times New Roman"/>
          <w:b/>
          <w:bCs/>
          <w:color w:val="auto"/>
          <w:kern w:val="0"/>
          <w:sz w:val="32"/>
          <w:szCs w:val="32"/>
          <w:highlight w:val="none"/>
          <w:lang w:val="en-US" w:eastAsia="zh-CN" w:bidi="ar-SA"/>
        </w:rPr>
        <w:t>【</w:t>
      </w:r>
      <w:r>
        <w:rPr>
          <w:rFonts w:ascii="Times New Roman" w:hAnsi="Times New Roman" w:eastAsia="楷体_GB2312" w:cs="Times New Roman"/>
          <w:b/>
          <w:bCs/>
          <w:color w:val="auto"/>
          <w:kern w:val="0"/>
          <w:sz w:val="32"/>
          <w:szCs w:val="32"/>
          <w:highlight w:val="none"/>
          <w:lang w:val="en-US" w:eastAsia="zh-CN" w:bidi="ar-SA"/>
        </w:rPr>
        <w:t xml:space="preserve">零售网点建设管理 </w:t>
      </w:r>
      <w:r>
        <w:rPr>
          <w:rFonts w:hint="eastAsia" w:ascii="Times New Roman" w:hAnsi="Times New Roman" w:eastAsia="楷体_GB2312" w:cs="Times New Roman"/>
          <w:b/>
          <w:bCs/>
          <w:color w:val="auto"/>
          <w:kern w:val="0"/>
          <w:sz w:val="32"/>
          <w:szCs w:val="32"/>
          <w:highlight w:val="none"/>
          <w:lang w:val="en-US" w:eastAsia="zh-CN" w:bidi="ar-SA"/>
        </w:rPr>
        <w:t xml:space="preserve">】 </w:t>
      </w:r>
      <w:r>
        <w:rPr>
          <w:rFonts w:ascii="Times New Roman" w:hAnsi="Times New Roman" w:eastAsia="仿宋_GB2312" w:cs="Times New Roman"/>
          <w:color w:val="auto"/>
          <w:kern w:val="0"/>
          <w:sz w:val="32"/>
          <w:szCs w:val="32"/>
          <w:highlight w:val="none"/>
        </w:rPr>
        <w:t>任何单位和个人，未经批准不得擅自新</w:t>
      </w:r>
      <w:r>
        <w:rPr>
          <w:rFonts w:hint="eastAsia" w:ascii="Times New Roman" w:hAnsi="Times New Roman" w:eastAsia="仿宋_GB2312" w:cs="Times New Roman"/>
          <w:color w:val="auto"/>
          <w:kern w:val="0"/>
          <w:sz w:val="32"/>
          <w:szCs w:val="32"/>
          <w:highlight w:val="none"/>
          <w:lang w:eastAsia="zh-CN"/>
        </w:rPr>
        <w:t>（</w:t>
      </w:r>
      <w:r>
        <w:rPr>
          <w:rFonts w:hint="eastAsia" w:ascii="Times New Roman" w:hAnsi="Times New Roman" w:eastAsia="仿宋_GB2312" w:cs="Times New Roman"/>
          <w:color w:val="auto"/>
          <w:kern w:val="0"/>
          <w:sz w:val="32"/>
          <w:szCs w:val="32"/>
          <w:highlight w:val="none"/>
          <w:lang w:val="en-US" w:eastAsia="zh-CN"/>
        </w:rPr>
        <w:t>迁</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建、改（扩）建成品油零售网点。新建</w:t>
      </w:r>
      <w:r>
        <w:rPr>
          <w:rFonts w:hint="eastAsia" w:ascii="Times New Roman" w:hAnsi="Times New Roman" w:eastAsia="仿宋_GB2312" w:cs="Times New Roman"/>
          <w:color w:val="auto"/>
          <w:kern w:val="0"/>
          <w:sz w:val="32"/>
          <w:szCs w:val="32"/>
          <w:highlight w:val="none"/>
          <w:lang w:eastAsia="zh-CN"/>
        </w:rPr>
        <w:t>零售网点的按第十条规定。</w:t>
      </w:r>
      <w:r>
        <w:rPr>
          <w:rFonts w:hint="eastAsia" w:ascii="Times New Roman" w:hAnsi="Times New Roman" w:eastAsia="仿宋_GB2312" w:cs="Times New Roman"/>
          <w:color w:val="auto"/>
          <w:kern w:val="0"/>
          <w:sz w:val="32"/>
          <w:szCs w:val="32"/>
          <w:highlight w:val="none"/>
          <w:lang w:val="en-US" w:eastAsia="zh-CN"/>
        </w:rPr>
        <w:t>迁建零售网点的按第十条和第十七条规定。</w:t>
      </w:r>
      <w:r>
        <w:rPr>
          <w:rFonts w:ascii="Times New Roman" w:hAnsi="Times New Roman" w:eastAsia="仿宋_GB2312" w:cs="Times New Roman"/>
          <w:color w:val="auto"/>
          <w:kern w:val="0"/>
          <w:sz w:val="32"/>
          <w:szCs w:val="32"/>
          <w:highlight w:val="none"/>
        </w:rPr>
        <w:t>零售网点原址改（扩）建的，应当向所在</w:t>
      </w:r>
      <w:r>
        <w:rPr>
          <w:rFonts w:hint="eastAsia" w:ascii="Times New Roman" w:hAnsi="Times New Roman" w:eastAsia="仿宋_GB2312" w:cs="Times New Roman"/>
          <w:color w:val="auto"/>
          <w:kern w:val="0"/>
          <w:sz w:val="32"/>
          <w:szCs w:val="32"/>
          <w:highlight w:val="none"/>
          <w:lang w:eastAsia="zh-CN"/>
        </w:rPr>
        <w:t>市</w:t>
      </w:r>
      <w:r>
        <w:rPr>
          <w:rFonts w:ascii="Times New Roman" w:hAnsi="Times New Roman" w:eastAsia="仿宋_GB2312" w:cs="Times New Roman"/>
          <w:color w:val="auto"/>
          <w:kern w:val="0"/>
          <w:sz w:val="32"/>
          <w:szCs w:val="32"/>
          <w:highlight w:val="none"/>
        </w:rPr>
        <w:t>级</w:t>
      </w:r>
      <w:r>
        <w:rPr>
          <w:rFonts w:hint="eastAsia" w:ascii="Times New Roman" w:hAnsi="Times New Roman" w:eastAsia="仿宋_GB2312" w:cs="Times New Roman"/>
          <w:color w:val="auto"/>
          <w:kern w:val="0"/>
          <w:sz w:val="32"/>
          <w:szCs w:val="32"/>
          <w:highlight w:val="none"/>
          <w:lang w:eastAsia="zh-CN"/>
        </w:rPr>
        <w:t>商务</w:t>
      </w:r>
      <w:r>
        <w:rPr>
          <w:rFonts w:ascii="Times New Roman" w:hAnsi="Times New Roman" w:eastAsia="仿宋_GB2312" w:cs="Times New Roman"/>
          <w:color w:val="auto"/>
          <w:kern w:val="0"/>
          <w:sz w:val="32"/>
          <w:szCs w:val="32"/>
          <w:highlight w:val="none"/>
        </w:rPr>
        <w:t>部门提出申请。申请时应提交</w:t>
      </w:r>
      <w:r>
        <w:rPr>
          <w:rFonts w:hint="eastAsia" w:ascii="Times New Roman" w:hAnsi="Times New Roman" w:eastAsia="仿宋_GB2312" w:cs="Times New Roman"/>
          <w:color w:val="auto"/>
          <w:kern w:val="0"/>
          <w:sz w:val="32"/>
          <w:szCs w:val="32"/>
          <w:highlight w:val="none"/>
          <w:lang w:eastAsia="zh-CN"/>
        </w:rPr>
        <w:t>《</w:t>
      </w:r>
      <w:r>
        <w:rPr>
          <w:rFonts w:hint="eastAsia" w:ascii="Times New Roman" w:hAnsi="Times New Roman" w:eastAsia="仿宋_GB2312" w:cs="Times New Roman"/>
          <w:color w:val="auto"/>
          <w:kern w:val="0"/>
          <w:sz w:val="32"/>
          <w:szCs w:val="32"/>
          <w:highlight w:val="none"/>
          <w:lang w:val="en-US" w:eastAsia="zh-CN"/>
        </w:rPr>
        <w:t>零售网点</w:t>
      </w:r>
      <w:r>
        <w:rPr>
          <w:rFonts w:hint="eastAsia" w:ascii="Times New Roman" w:hAnsi="Times New Roman" w:eastAsia="仿宋_GB2312" w:cs="Times New Roman"/>
          <w:color w:val="auto"/>
          <w:kern w:val="0"/>
          <w:sz w:val="32"/>
          <w:szCs w:val="32"/>
          <w:highlight w:val="none"/>
          <w:lang w:eastAsia="zh-CN"/>
        </w:rPr>
        <w:t>原址改（扩）建申请表》（</w:t>
      </w:r>
      <w:r>
        <w:rPr>
          <w:rFonts w:hint="eastAsia" w:ascii="Times New Roman" w:hAnsi="Times New Roman" w:eastAsia="仿宋_GB2312" w:cs="Times New Roman"/>
          <w:color w:val="auto"/>
          <w:kern w:val="0"/>
          <w:sz w:val="32"/>
          <w:szCs w:val="32"/>
          <w:highlight w:val="none"/>
          <w:lang w:val="en-US" w:eastAsia="zh-CN"/>
        </w:rPr>
        <w:t>详见附表3</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改（扩）建方案、规划设计图纸、安全评估报告等材料。</w:t>
      </w:r>
      <w:r>
        <w:rPr>
          <w:rFonts w:hint="eastAsia" w:ascii="Times New Roman" w:hAnsi="Times New Roman" w:eastAsia="仿宋_GB2312" w:cs="Times New Roman"/>
          <w:color w:val="auto"/>
          <w:kern w:val="0"/>
          <w:sz w:val="32"/>
          <w:szCs w:val="32"/>
          <w:highlight w:val="none"/>
          <w:lang w:eastAsia="zh-CN"/>
        </w:rPr>
        <w:t>市</w:t>
      </w:r>
      <w:r>
        <w:rPr>
          <w:rFonts w:ascii="Times New Roman" w:hAnsi="Times New Roman" w:eastAsia="仿宋_GB2312" w:cs="Times New Roman"/>
          <w:color w:val="auto"/>
          <w:kern w:val="0"/>
          <w:sz w:val="32"/>
          <w:szCs w:val="32"/>
          <w:highlight w:val="none"/>
        </w:rPr>
        <w:t>级</w:t>
      </w:r>
      <w:r>
        <w:rPr>
          <w:rFonts w:hint="eastAsia" w:ascii="Times New Roman" w:hAnsi="Times New Roman" w:eastAsia="仿宋_GB2312" w:cs="Times New Roman"/>
          <w:color w:val="auto"/>
          <w:kern w:val="0"/>
          <w:sz w:val="32"/>
          <w:szCs w:val="32"/>
          <w:highlight w:val="none"/>
          <w:lang w:eastAsia="zh-CN"/>
        </w:rPr>
        <w:t>商务</w:t>
      </w:r>
      <w:r>
        <w:rPr>
          <w:rFonts w:ascii="Times New Roman" w:hAnsi="Times New Roman" w:eastAsia="仿宋_GB2312" w:cs="Times New Roman"/>
          <w:color w:val="auto"/>
          <w:kern w:val="0"/>
          <w:sz w:val="32"/>
          <w:szCs w:val="32"/>
          <w:highlight w:val="none"/>
        </w:rPr>
        <w:t>部门收到申请后，组织相关部门进行审核，对符合要求的予以批准。</w:t>
      </w:r>
      <w:r>
        <w:rPr>
          <w:rFonts w:hint="eastAsia" w:ascii="Times New Roman" w:hAnsi="Times New Roman" w:eastAsia="仿宋_GB2312" w:cs="Times New Roman"/>
          <w:color w:val="auto"/>
          <w:kern w:val="0"/>
          <w:sz w:val="32"/>
          <w:szCs w:val="32"/>
          <w:highlight w:val="none"/>
          <w:lang w:eastAsia="zh-CN"/>
        </w:rPr>
        <w:t>保证每个乡镇至</w:t>
      </w:r>
      <w:r>
        <w:rPr>
          <w:rFonts w:hint="eastAsia" w:ascii="仿宋_GB2312" w:hAnsi="仿宋_GB2312" w:eastAsia="仿宋_GB2312" w:cs="仿宋_GB2312"/>
          <w:color w:val="auto"/>
          <w:kern w:val="0"/>
          <w:sz w:val="32"/>
          <w:szCs w:val="32"/>
          <w:highlight w:val="none"/>
          <w:lang w:eastAsia="zh-CN"/>
        </w:rPr>
        <w:t>少</w:t>
      </w:r>
      <w:r>
        <w:rPr>
          <w:rFonts w:hint="eastAsia" w:ascii="仿宋_GB2312" w:hAnsi="仿宋_GB2312" w:eastAsia="仿宋_GB2312" w:cs="仿宋_GB2312"/>
          <w:color w:val="auto"/>
          <w:kern w:val="0"/>
          <w:sz w:val="32"/>
          <w:szCs w:val="32"/>
          <w:highlight w:val="none"/>
          <w:lang w:val="en-US" w:eastAsia="zh-CN"/>
        </w:rPr>
        <w:t>1座零售</w:t>
      </w:r>
      <w:r>
        <w:rPr>
          <w:rFonts w:hint="eastAsia" w:ascii="Times New Roman" w:hAnsi="Times New Roman" w:eastAsia="仿宋_GB2312" w:cs="Times New Roman"/>
          <w:color w:val="auto"/>
          <w:kern w:val="0"/>
          <w:sz w:val="32"/>
          <w:szCs w:val="32"/>
          <w:highlight w:val="none"/>
          <w:lang w:val="en-US" w:eastAsia="zh-CN"/>
        </w:rPr>
        <w:t>网点</w:t>
      </w:r>
      <w:r>
        <w:rPr>
          <w:rFonts w:ascii="Times New Roman" w:hAnsi="Times New Roman" w:eastAsia="仿宋_GB2312" w:cs="Times New Roman"/>
          <w:color w:val="auto"/>
          <w:kern w:val="0"/>
          <w:sz w:val="32"/>
          <w:szCs w:val="32"/>
          <w:highlight w:val="none"/>
        </w:rPr>
        <w:t>。</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ascii="Times New Roman" w:hAnsi="Times New Roman" w:eastAsia="仿宋_GB2312" w:cs="Times New Roman"/>
          <w:bCs w:val="0"/>
          <w:color w:val="auto"/>
          <w:kern w:val="0"/>
          <w:sz w:val="32"/>
          <w:szCs w:val="32"/>
          <w:highlight w:val="none"/>
          <w:lang w:val="en-US" w:eastAsia="zh-CN" w:bidi="ar-SA"/>
        </w:rPr>
      </w:pPr>
      <w:r>
        <w:rPr>
          <w:rFonts w:ascii="Times New Roman" w:hAnsi="Times New Roman" w:eastAsia="楷体_GB2312" w:cs="Times New Roman"/>
          <w:b/>
          <w:bCs/>
          <w:color w:val="auto"/>
          <w:kern w:val="0"/>
          <w:sz w:val="32"/>
          <w:szCs w:val="32"/>
          <w:highlight w:val="none"/>
          <w:lang w:val="en-US" w:eastAsia="zh-CN" w:bidi="ar-SA"/>
        </w:rPr>
        <w:t>第二十三条</w:t>
      </w:r>
      <w:r>
        <w:rPr>
          <w:rFonts w:hint="eastAsia" w:ascii="Times New Roman" w:hAnsi="Times New Roman" w:eastAsia="楷体_GB2312" w:cs="Times New Roman"/>
          <w:b/>
          <w:bCs/>
          <w:color w:val="auto"/>
          <w:kern w:val="0"/>
          <w:sz w:val="32"/>
          <w:szCs w:val="32"/>
          <w:highlight w:val="none"/>
          <w:lang w:val="en-US" w:eastAsia="zh-CN" w:bidi="ar-SA"/>
        </w:rPr>
        <w:t>【</w:t>
      </w:r>
      <w:r>
        <w:rPr>
          <w:rFonts w:ascii="Times New Roman" w:hAnsi="Times New Roman" w:eastAsia="楷体_GB2312" w:cs="Times New Roman"/>
          <w:b/>
          <w:bCs/>
          <w:color w:val="auto"/>
          <w:kern w:val="0"/>
          <w:sz w:val="32"/>
          <w:szCs w:val="32"/>
          <w:highlight w:val="none"/>
          <w:lang w:val="en-US" w:eastAsia="zh-CN" w:bidi="ar-SA"/>
        </w:rPr>
        <w:t>零售经营企业歇业管理</w:t>
      </w:r>
      <w:r>
        <w:rPr>
          <w:rFonts w:hint="eastAsia" w:ascii="Times New Roman" w:hAnsi="Times New Roman" w:eastAsia="楷体_GB2312" w:cs="Times New Roman"/>
          <w:b/>
          <w:bCs/>
          <w:color w:val="auto"/>
          <w:kern w:val="0"/>
          <w:sz w:val="32"/>
          <w:szCs w:val="32"/>
          <w:highlight w:val="none"/>
          <w:lang w:val="en-US" w:eastAsia="zh-CN" w:bidi="ar-SA"/>
        </w:rPr>
        <w:t>】</w:t>
      </w:r>
      <w:r>
        <w:rPr>
          <w:rFonts w:ascii="Times New Roman" w:hAnsi="Times New Roman" w:eastAsia="仿宋_GB2312" w:cs="Times New Roman"/>
          <w:bCs w:val="0"/>
          <w:color w:val="auto"/>
          <w:kern w:val="0"/>
          <w:sz w:val="32"/>
          <w:szCs w:val="32"/>
          <w:highlight w:val="none"/>
          <w:lang w:val="en-US" w:eastAsia="zh-CN" w:bidi="ar-SA"/>
        </w:rPr>
        <w:t>成品油零售经营企业未</w:t>
      </w:r>
      <w:r>
        <w:rPr>
          <w:rFonts w:ascii="Times New Roman" w:hAnsi="Times New Roman" w:eastAsia="仿宋_GB2312" w:cs="Times New Roman"/>
          <w:bCs w:val="0"/>
          <w:color w:val="auto"/>
          <w:kern w:val="0"/>
          <w:sz w:val="32"/>
          <w:szCs w:val="32"/>
          <w:highlight w:val="none"/>
          <w:u w:val="none"/>
          <w:lang w:val="en-US" w:eastAsia="zh-CN" w:bidi="ar-SA"/>
        </w:rPr>
        <w:t>经作出许可决定的</w:t>
      </w:r>
      <w:r>
        <w:rPr>
          <w:rFonts w:hint="eastAsia" w:ascii="Times New Roman" w:hAnsi="Times New Roman" w:eastAsia="仿宋_GB2312" w:cs="Times New Roman"/>
          <w:bCs w:val="0"/>
          <w:color w:val="auto"/>
          <w:kern w:val="0"/>
          <w:sz w:val="32"/>
          <w:szCs w:val="32"/>
          <w:highlight w:val="none"/>
          <w:lang w:val="en-US" w:eastAsia="zh-CN" w:bidi="ar-SA"/>
        </w:rPr>
        <w:t>市级商务部门</w:t>
      </w:r>
      <w:r>
        <w:rPr>
          <w:rFonts w:ascii="Times New Roman" w:hAnsi="Times New Roman" w:eastAsia="仿宋_GB2312" w:cs="Times New Roman"/>
          <w:bCs w:val="0"/>
          <w:color w:val="auto"/>
          <w:kern w:val="0"/>
          <w:sz w:val="32"/>
          <w:szCs w:val="32"/>
          <w:highlight w:val="none"/>
          <w:lang w:val="en-US" w:eastAsia="zh-CN" w:bidi="ar-SA"/>
        </w:rPr>
        <w:t>部门批准，不得擅自歇业。</w:t>
      </w:r>
      <w:r>
        <w:rPr>
          <w:rFonts w:hint="eastAsia" w:ascii="仿宋_GB2312" w:hAnsi="仿宋_GB2312" w:eastAsia="仿宋_GB2312" w:cs="仿宋_GB2312"/>
          <w:bCs w:val="0"/>
          <w:color w:val="auto"/>
          <w:kern w:val="0"/>
          <w:sz w:val="32"/>
          <w:szCs w:val="32"/>
          <w:highlight w:val="none"/>
          <w:lang w:val="en-US" w:eastAsia="zh-CN" w:bidi="ar-SA"/>
        </w:rPr>
        <w:t>歇业一般不超过12个月。对因自然灾害（如暴雨、凝冻等）、城市</w:t>
      </w:r>
      <w:r>
        <w:rPr>
          <w:rFonts w:ascii="Times New Roman" w:hAnsi="Times New Roman" w:eastAsia="仿宋_GB2312" w:cs="Times New Roman"/>
          <w:bCs w:val="0"/>
          <w:color w:val="auto"/>
          <w:kern w:val="0"/>
          <w:sz w:val="32"/>
          <w:szCs w:val="32"/>
          <w:highlight w:val="none"/>
          <w:lang w:val="en-US" w:eastAsia="zh-CN" w:bidi="ar-SA"/>
        </w:rPr>
        <w:t>建设等原因造成歇业或无法正常经营的，经企业所在地</w:t>
      </w:r>
      <w:r>
        <w:rPr>
          <w:rFonts w:hint="eastAsia" w:ascii="Times New Roman" w:hAnsi="Times New Roman" w:eastAsia="仿宋_GB2312" w:cs="Times New Roman"/>
          <w:bCs w:val="0"/>
          <w:color w:val="auto"/>
          <w:kern w:val="0"/>
          <w:sz w:val="32"/>
          <w:szCs w:val="32"/>
          <w:highlight w:val="none"/>
          <w:lang w:val="en-US" w:eastAsia="zh-CN" w:bidi="ar-SA"/>
        </w:rPr>
        <w:t>市</w:t>
      </w:r>
      <w:r>
        <w:rPr>
          <w:rFonts w:ascii="Times New Roman" w:hAnsi="Times New Roman" w:eastAsia="仿宋_GB2312" w:cs="Times New Roman"/>
          <w:bCs w:val="0"/>
          <w:color w:val="auto"/>
          <w:kern w:val="0"/>
          <w:sz w:val="32"/>
          <w:szCs w:val="32"/>
          <w:highlight w:val="none"/>
          <w:lang w:val="en-US" w:eastAsia="zh-CN" w:bidi="ar-SA"/>
        </w:rPr>
        <w:t>级</w:t>
      </w:r>
      <w:r>
        <w:rPr>
          <w:rFonts w:hint="eastAsia" w:ascii="Times New Roman" w:hAnsi="Times New Roman" w:eastAsia="仿宋_GB2312" w:cs="Times New Roman"/>
          <w:bCs w:val="0"/>
          <w:color w:val="auto"/>
          <w:kern w:val="0"/>
          <w:sz w:val="32"/>
          <w:szCs w:val="32"/>
          <w:highlight w:val="none"/>
          <w:lang w:val="en-US" w:eastAsia="zh-CN" w:bidi="ar-SA"/>
        </w:rPr>
        <w:t>商务</w:t>
      </w:r>
      <w:r>
        <w:rPr>
          <w:rFonts w:ascii="Times New Roman" w:hAnsi="Times New Roman" w:eastAsia="仿宋_GB2312" w:cs="Times New Roman"/>
          <w:bCs w:val="0"/>
          <w:color w:val="auto"/>
          <w:kern w:val="0"/>
          <w:sz w:val="32"/>
          <w:szCs w:val="32"/>
          <w:highlight w:val="none"/>
          <w:lang w:val="en-US" w:eastAsia="zh-CN" w:bidi="ar-SA"/>
        </w:rPr>
        <w:t>部门批准，可延长歇业时间。</w:t>
      </w:r>
      <w:r>
        <w:rPr>
          <w:rFonts w:hint="eastAsia" w:eastAsia="仿宋_GB2312"/>
          <w:color w:val="auto"/>
          <w:kern w:val="0"/>
          <w:sz w:val="32"/>
          <w:szCs w:val="32"/>
          <w:highlight w:val="none"/>
        </w:rPr>
        <w:t>成品油零售经营企业在停歇业备案到期</w:t>
      </w:r>
      <w:r>
        <w:rPr>
          <w:rFonts w:hint="eastAsia" w:ascii="仿宋_GB2312" w:hAnsi="仿宋_GB2312" w:eastAsia="仿宋_GB2312" w:cs="仿宋_GB2312"/>
          <w:color w:val="auto"/>
          <w:kern w:val="0"/>
          <w:sz w:val="32"/>
          <w:szCs w:val="32"/>
          <w:highlight w:val="none"/>
        </w:rPr>
        <w:t>前30天内到所</w:t>
      </w:r>
      <w:r>
        <w:rPr>
          <w:rFonts w:hint="eastAsia" w:eastAsia="仿宋_GB2312"/>
          <w:color w:val="auto"/>
          <w:kern w:val="0"/>
          <w:sz w:val="32"/>
          <w:szCs w:val="32"/>
          <w:highlight w:val="none"/>
        </w:rPr>
        <w:t>在</w:t>
      </w:r>
      <w:r>
        <w:rPr>
          <w:rFonts w:hint="eastAsia" w:eastAsia="仿宋_GB2312"/>
          <w:color w:val="auto"/>
          <w:kern w:val="0"/>
          <w:sz w:val="32"/>
          <w:szCs w:val="32"/>
          <w:highlight w:val="none"/>
          <w:lang w:eastAsia="zh-CN"/>
        </w:rPr>
        <w:t>市级商务部门</w:t>
      </w:r>
      <w:r>
        <w:rPr>
          <w:rFonts w:hint="eastAsia" w:eastAsia="仿宋_GB2312"/>
          <w:color w:val="auto"/>
          <w:kern w:val="0"/>
          <w:sz w:val="32"/>
          <w:szCs w:val="32"/>
          <w:highlight w:val="none"/>
        </w:rPr>
        <w:t>部门办理停歇业延期备案手续。</w:t>
      </w:r>
      <w:r>
        <w:rPr>
          <w:rFonts w:ascii="Times New Roman" w:hAnsi="Times New Roman" w:eastAsia="仿宋_GB2312" w:cs="Times New Roman"/>
          <w:bCs w:val="0"/>
          <w:color w:val="auto"/>
          <w:kern w:val="0"/>
          <w:sz w:val="32"/>
          <w:szCs w:val="32"/>
          <w:highlight w:val="none"/>
          <w:lang w:val="en-US" w:eastAsia="zh-CN" w:bidi="ar-SA"/>
        </w:rPr>
        <w:t>企业申请歇业时，应提交</w:t>
      </w:r>
      <w:r>
        <w:rPr>
          <w:rFonts w:hint="eastAsia" w:ascii="Times New Roman" w:hAnsi="Times New Roman" w:eastAsia="仿宋_GB2312" w:cs="Times New Roman"/>
          <w:bCs w:val="0"/>
          <w:color w:val="auto"/>
          <w:kern w:val="0"/>
          <w:sz w:val="32"/>
          <w:szCs w:val="32"/>
          <w:highlight w:val="none"/>
          <w:lang w:val="en-US" w:eastAsia="zh-CN" w:bidi="ar-SA"/>
        </w:rPr>
        <w:t>《成品油零售经营企业暂时歇业/注销申请表》（详见附表4）、</w:t>
      </w:r>
      <w:r>
        <w:rPr>
          <w:rFonts w:ascii="Times New Roman" w:hAnsi="Times New Roman" w:eastAsia="仿宋_GB2312" w:cs="Times New Roman"/>
          <w:bCs w:val="0"/>
          <w:color w:val="auto"/>
          <w:kern w:val="0"/>
          <w:sz w:val="32"/>
          <w:szCs w:val="32"/>
          <w:highlight w:val="none"/>
          <w:lang w:val="en-US" w:eastAsia="zh-CN" w:bidi="ar-SA"/>
        </w:rPr>
        <w:t>歇业原因说明、歇业期间安全管理措施等材料。</w:t>
      </w:r>
      <w:r>
        <w:rPr>
          <w:rFonts w:hint="eastAsia" w:ascii="Times New Roman" w:hAnsi="Times New Roman" w:eastAsia="仿宋_GB2312" w:cs="Times New Roman"/>
          <w:bCs w:val="0"/>
          <w:color w:val="auto"/>
          <w:kern w:val="0"/>
          <w:sz w:val="32"/>
          <w:szCs w:val="32"/>
          <w:highlight w:val="none"/>
          <w:lang w:val="en-US" w:eastAsia="zh-CN" w:bidi="ar-SA"/>
        </w:rPr>
        <w:t>市级商务部门</w:t>
      </w:r>
      <w:r>
        <w:rPr>
          <w:rFonts w:ascii="Times New Roman" w:hAnsi="Times New Roman" w:eastAsia="仿宋_GB2312" w:cs="Times New Roman"/>
          <w:bCs w:val="0"/>
          <w:color w:val="auto"/>
          <w:kern w:val="0"/>
          <w:sz w:val="32"/>
          <w:szCs w:val="32"/>
          <w:highlight w:val="none"/>
          <w:lang w:val="en-US" w:eastAsia="zh-CN" w:bidi="ar-SA"/>
        </w:rPr>
        <w:t>部门应当及时将成品油零售经营企业的歇业信息同步推送至市场监管、税务、应急管理等部门。</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ascii="Times New Roman" w:hAnsi="Times New Roman" w:eastAsia="仿宋_GB2312" w:cs="Times New Roman"/>
          <w:color w:val="auto"/>
          <w:kern w:val="0"/>
          <w:sz w:val="32"/>
          <w:szCs w:val="32"/>
          <w:highlight w:val="none"/>
        </w:rPr>
      </w:pPr>
      <w:r>
        <w:rPr>
          <w:rFonts w:ascii="Times New Roman" w:hAnsi="Times New Roman" w:eastAsia="楷体_GB2312" w:cs="Times New Roman"/>
          <w:b/>
          <w:bCs/>
          <w:color w:val="auto"/>
          <w:kern w:val="0"/>
          <w:sz w:val="32"/>
          <w:szCs w:val="32"/>
          <w:highlight w:val="none"/>
          <w:lang w:val="en-US" w:eastAsia="zh-CN" w:bidi="ar-SA"/>
        </w:rPr>
        <w:t>第二十四条</w:t>
      </w:r>
      <w:r>
        <w:rPr>
          <w:rFonts w:hint="eastAsia" w:ascii="Times New Roman" w:hAnsi="Times New Roman" w:eastAsia="楷体_GB2312" w:cs="Times New Roman"/>
          <w:b/>
          <w:bCs/>
          <w:color w:val="auto"/>
          <w:kern w:val="0"/>
          <w:sz w:val="32"/>
          <w:szCs w:val="32"/>
          <w:highlight w:val="none"/>
          <w:lang w:val="en-US" w:eastAsia="zh-CN" w:bidi="ar-SA"/>
        </w:rPr>
        <w:t>【</w:t>
      </w:r>
      <w:r>
        <w:rPr>
          <w:rFonts w:ascii="Times New Roman" w:hAnsi="Times New Roman" w:eastAsia="楷体_GB2312" w:cs="Times New Roman"/>
          <w:b/>
          <w:bCs/>
          <w:color w:val="auto"/>
          <w:kern w:val="0"/>
          <w:sz w:val="32"/>
          <w:szCs w:val="32"/>
          <w:highlight w:val="none"/>
          <w:lang w:val="en-US" w:eastAsia="zh-CN" w:bidi="ar-SA"/>
        </w:rPr>
        <w:t>油品购销渠道管理</w:t>
      </w:r>
      <w:r>
        <w:rPr>
          <w:rFonts w:hint="eastAsia" w:ascii="Times New Roman" w:hAnsi="Times New Roman" w:eastAsia="楷体_GB2312" w:cs="Times New Roman"/>
          <w:b/>
          <w:bCs/>
          <w:color w:val="auto"/>
          <w:kern w:val="0"/>
          <w:sz w:val="32"/>
          <w:szCs w:val="32"/>
          <w:highlight w:val="none"/>
          <w:lang w:val="en-US" w:eastAsia="zh-CN" w:bidi="ar-SA"/>
        </w:rPr>
        <w:t>】</w:t>
      </w:r>
      <w:r>
        <w:rPr>
          <w:rFonts w:hint="eastAsia" w:ascii="Times New Roman" w:hAnsi="Times New Roman" w:eastAsia="仿宋_GB2312" w:cs="Times New Roman"/>
          <w:color w:val="auto"/>
          <w:kern w:val="0"/>
          <w:sz w:val="32"/>
          <w:szCs w:val="32"/>
          <w:highlight w:val="none"/>
          <w:lang w:val="en-US" w:eastAsia="zh-CN"/>
        </w:rPr>
        <w:t xml:space="preserve"> </w:t>
      </w:r>
      <w:r>
        <w:rPr>
          <w:rFonts w:ascii="Times New Roman" w:hAnsi="Times New Roman" w:eastAsia="仿宋_GB2312" w:cs="Times New Roman"/>
          <w:color w:val="auto"/>
          <w:kern w:val="0"/>
          <w:sz w:val="32"/>
          <w:szCs w:val="32"/>
          <w:highlight w:val="none"/>
        </w:rPr>
        <w:t>成品油批发、零售经营企业应当从经国家相关部门批准的成品油生产企业或经</w:t>
      </w:r>
      <w:r>
        <w:rPr>
          <w:rFonts w:hint="eastAsia" w:ascii="Times New Roman" w:hAnsi="Times New Roman" w:eastAsia="仿宋_GB2312" w:cs="Times New Roman"/>
          <w:color w:val="auto"/>
          <w:kern w:val="0"/>
          <w:sz w:val="32"/>
          <w:szCs w:val="32"/>
          <w:highlight w:val="none"/>
          <w:lang w:eastAsia="zh-CN"/>
        </w:rPr>
        <w:t>省商务厅</w:t>
      </w:r>
      <w:r>
        <w:rPr>
          <w:rFonts w:ascii="Times New Roman" w:hAnsi="Times New Roman" w:eastAsia="仿宋_GB2312" w:cs="Times New Roman"/>
          <w:color w:val="auto"/>
          <w:kern w:val="0"/>
          <w:sz w:val="32"/>
          <w:szCs w:val="32"/>
          <w:highlight w:val="none"/>
        </w:rPr>
        <w:t>备案的成品油批发经营企业购进成品油。</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kern w:val="0"/>
          <w:sz w:val="32"/>
          <w:szCs w:val="32"/>
          <w:highlight w:val="none"/>
        </w:rPr>
      </w:pPr>
      <w:r>
        <w:rPr>
          <w:rFonts w:ascii="Times New Roman" w:hAnsi="Times New Roman" w:eastAsia="仿宋_GB2312" w:cs="Times New Roman"/>
          <w:color w:val="auto"/>
          <w:kern w:val="0"/>
          <w:sz w:val="32"/>
          <w:szCs w:val="32"/>
          <w:highlight w:val="none"/>
        </w:rPr>
        <w:t>企业应建立供应商档案，保存供应商资质证明、采购合同等材料。成品油仓储经营企业为其他企业代储成品油的，应当验证油品合法来源及委托人合法证明。</w:t>
      </w:r>
      <w:r>
        <w:rPr>
          <w:rFonts w:hint="eastAsia" w:ascii="仿宋_GB2312" w:hAnsi="仿宋_GB2312" w:eastAsia="仿宋_GB2312" w:cs="仿宋_GB2312"/>
          <w:color w:val="auto"/>
          <w:kern w:val="0"/>
          <w:sz w:val="32"/>
          <w:szCs w:val="32"/>
          <w:highlight w:val="none"/>
        </w:rPr>
        <w:t>验证材料应妥善保存，保存期限不少于</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年。</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成品油批发经营企业不得采用直接加注等方式向机动车船、非道路移动机械或终端用户加注成品油。对于违反规定的批发企业，依法进行查处。</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成品油零售经营企业不得未经批准在零售网点以外加注成品油。</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lang w:eastAsia="zh-CN"/>
        </w:rPr>
      </w:pPr>
      <w:r>
        <w:rPr>
          <w:rFonts w:hint="eastAsia" w:ascii="Times New Roman" w:hAnsi="Times New Roman" w:eastAsia="仿宋_GB2312" w:cs="Times New Roman"/>
          <w:color w:val="auto"/>
          <w:kern w:val="0"/>
          <w:sz w:val="32"/>
          <w:szCs w:val="32"/>
          <w:highlight w:val="none"/>
          <w:lang w:eastAsia="zh-CN"/>
        </w:rPr>
        <w:t>在相对偏远、人员稀少、网点空白、物流不便、加油量较少的地区，国有企业履行社会责任，合理设置</w:t>
      </w:r>
      <w:r>
        <w:rPr>
          <w:rFonts w:hint="eastAsia" w:ascii="Times New Roman" w:hAnsi="Times New Roman" w:eastAsia="仿宋_GB2312" w:cs="Times New Roman"/>
          <w:color w:val="auto"/>
          <w:kern w:val="0"/>
          <w:sz w:val="32"/>
          <w:szCs w:val="32"/>
          <w:highlight w:val="none"/>
        </w:rPr>
        <w:t>正规撬装式加油装置</w:t>
      </w:r>
      <w:r>
        <w:rPr>
          <w:rFonts w:hint="eastAsia" w:ascii="Times New Roman" w:hAnsi="Times New Roman" w:eastAsia="仿宋_GB2312" w:cs="Times New Roman"/>
          <w:color w:val="auto"/>
          <w:kern w:val="0"/>
          <w:sz w:val="32"/>
          <w:szCs w:val="32"/>
          <w:highlight w:val="none"/>
          <w:lang w:eastAsia="zh-CN"/>
        </w:rPr>
        <w:t>提供加油服务；在确保安全的前提下，批准本区域具有成品油零售资质的企业依法依规可</w:t>
      </w:r>
      <w:r>
        <w:rPr>
          <w:rFonts w:hint="eastAsia" w:ascii="Times New Roman" w:hAnsi="Times New Roman" w:eastAsia="仿宋_GB2312" w:cs="Times New Roman"/>
          <w:color w:val="auto"/>
          <w:kern w:val="0"/>
          <w:sz w:val="32"/>
          <w:szCs w:val="32"/>
          <w:highlight w:val="none"/>
        </w:rPr>
        <w:t>在</w:t>
      </w:r>
      <w:r>
        <w:rPr>
          <w:rFonts w:hint="eastAsia" w:ascii="Times New Roman" w:hAnsi="Times New Roman" w:eastAsia="仿宋_GB2312" w:cs="Times New Roman"/>
          <w:color w:val="auto"/>
          <w:kern w:val="0"/>
          <w:sz w:val="32"/>
          <w:szCs w:val="32"/>
          <w:highlight w:val="none"/>
          <w:lang w:eastAsia="zh-CN"/>
        </w:rPr>
        <w:t>大型施工工地</w:t>
      </w:r>
      <w:r>
        <w:rPr>
          <w:rFonts w:hint="eastAsia" w:ascii="Times New Roman" w:hAnsi="Times New Roman" w:eastAsia="仿宋_GB2312" w:cs="Times New Roman"/>
          <w:color w:val="auto"/>
          <w:kern w:val="0"/>
          <w:sz w:val="32"/>
          <w:szCs w:val="32"/>
          <w:highlight w:val="none"/>
        </w:rPr>
        <w:t>、</w:t>
      </w:r>
      <w:r>
        <w:rPr>
          <w:rFonts w:hint="eastAsia" w:ascii="Times New Roman" w:hAnsi="Times New Roman" w:eastAsia="仿宋_GB2312" w:cs="Times New Roman"/>
          <w:color w:val="auto"/>
          <w:kern w:val="0"/>
          <w:sz w:val="32"/>
          <w:szCs w:val="32"/>
          <w:highlight w:val="none"/>
          <w:lang w:eastAsia="zh-CN"/>
        </w:rPr>
        <w:t>大型矿山</w:t>
      </w:r>
      <w:r>
        <w:rPr>
          <w:rFonts w:hint="eastAsia" w:ascii="Times New Roman" w:hAnsi="Times New Roman" w:eastAsia="仿宋_GB2312" w:cs="Times New Roman"/>
          <w:color w:val="auto"/>
          <w:kern w:val="0"/>
          <w:sz w:val="32"/>
          <w:szCs w:val="32"/>
          <w:highlight w:val="none"/>
        </w:rPr>
        <w:t>等特定领域、特定时段</w:t>
      </w:r>
      <w:r>
        <w:rPr>
          <w:rFonts w:hint="eastAsia" w:ascii="Times New Roman" w:hAnsi="Times New Roman" w:eastAsia="仿宋_GB2312" w:cs="Times New Roman"/>
          <w:color w:val="auto"/>
          <w:kern w:val="0"/>
          <w:sz w:val="32"/>
          <w:szCs w:val="32"/>
          <w:highlight w:val="none"/>
          <w:lang w:eastAsia="zh-CN"/>
        </w:rPr>
        <w:t>，临时设置</w:t>
      </w:r>
      <w:r>
        <w:rPr>
          <w:rFonts w:hint="eastAsia" w:ascii="Times New Roman" w:hAnsi="Times New Roman" w:eastAsia="仿宋_GB2312" w:cs="Times New Roman"/>
          <w:color w:val="auto"/>
          <w:kern w:val="0"/>
          <w:sz w:val="32"/>
          <w:szCs w:val="32"/>
          <w:highlight w:val="none"/>
        </w:rPr>
        <w:t>和使用符合国家相关安全、环保技术标准的正规撬装式加油装置</w:t>
      </w:r>
      <w:r>
        <w:rPr>
          <w:rFonts w:hint="eastAsia" w:ascii="Times New Roman" w:hAnsi="Times New Roman" w:eastAsia="仿宋_GB2312" w:cs="Times New Roman"/>
          <w:color w:val="auto"/>
          <w:kern w:val="0"/>
          <w:sz w:val="32"/>
          <w:szCs w:val="32"/>
          <w:highlight w:val="none"/>
          <w:lang w:eastAsia="zh-CN"/>
        </w:rPr>
        <w:t>供应成品油</w:t>
      </w:r>
      <w:r>
        <w:rPr>
          <w:rFonts w:hint="eastAsia" w:ascii="Times New Roman" w:hAnsi="Times New Roman" w:eastAsia="仿宋_GB2312" w:cs="Times New Roman"/>
          <w:color w:val="auto"/>
          <w:kern w:val="0"/>
          <w:sz w:val="32"/>
          <w:szCs w:val="32"/>
          <w:highlight w:val="none"/>
        </w:rPr>
        <w:t>。设置和使用撬装式加油装置前应向</w:t>
      </w:r>
      <w:r>
        <w:rPr>
          <w:rFonts w:hint="eastAsia" w:eastAsia="仿宋_GB2312"/>
          <w:color w:val="auto"/>
          <w:kern w:val="0"/>
          <w:sz w:val="32"/>
          <w:szCs w:val="32"/>
          <w:highlight w:val="none"/>
        </w:rPr>
        <w:t>所在</w:t>
      </w:r>
      <w:r>
        <w:rPr>
          <w:rFonts w:hint="eastAsia" w:eastAsia="仿宋_GB2312"/>
          <w:color w:val="auto"/>
          <w:kern w:val="0"/>
          <w:sz w:val="32"/>
          <w:szCs w:val="32"/>
          <w:highlight w:val="none"/>
          <w:lang w:eastAsia="zh-CN"/>
        </w:rPr>
        <w:t>地市级商务部门</w:t>
      </w:r>
      <w:r>
        <w:rPr>
          <w:rFonts w:hint="eastAsia" w:ascii="Times New Roman" w:hAnsi="Times New Roman" w:eastAsia="仿宋_GB2312" w:cs="Times New Roman"/>
          <w:color w:val="auto"/>
          <w:kern w:val="0"/>
          <w:sz w:val="32"/>
          <w:szCs w:val="32"/>
          <w:highlight w:val="none"/>
          <w:lang w:eastAsia="zh-CN"/>
        </w:rPr>
        <w:t>申请</w:t>
      </w:r>
      <w:r>
        <w:rPr>
          <w:rFonts w:hint="eastAsia" w:ascii="Times New Roman" w:hAnsi="Times New Roman" w:eastAsia="仿宋_GB2312" w:cs="Times New Roman"/>
          <w:color w:val="auto"/>
          <w:kern w:val="0"/>
          <w:sz w:val="32"/>
          <w:szCs w:val="32"/>
          <w:highlight w:val="none"/>
        </w:rPr>
        <w:t>并符合消防、安全、</w:t>
      </w:r>
      <w:r>
        <w:rPr>
          <w:rFonts w:hint="eastAsia" w:ascii="Times New Roman" w:hAnsi="Times New Roman" w:eastAsia="仿宋_GB2312" w:cs="Times New Roman"/>
          <w:color w:val="auto"/>
          <w:kern w:val="0"/>
          <w:sz w:val="32"/>
          <w:szCs w:val="32"/>
          <w:highlight w:val="none"/>
          <w:lang w:eastAsia="zh-CN"/>
        </w:rPr>
        <w:t>环保</w:t>
      </w:r>
      <w:r>
        <w:rPr>
          <w:rFonts w:hint="eastAsia" w:ascii="Times New Roman" w:hAnsi="Times New Roman" w:eastAsia="仿宋_GB2312" w:cs="Times New Roman"/>
          <w:color w:val="auto"/>
          <w:kern w:val="0"/>
          <w:sz w:val="32"/>
          <w:szCs w:val="32"/>
          <w:highlight w:val="none"/>
        </w:rPr>
        <w:t>等管理规定</w:t>
      </w:r>
      <w:r>
        <w:rPr>
          <w:rFonts w:hint="eastAsia" w:ascii="Times New Roman" w:hAnsi="Times New Roman" w:eastAsia="仿宋_GB2312" w:cs="Times New Roman"/>
          <w:color w:val="auto"/>
          <w:kern w:val="0"/>
          <w:sz w:val="32"/>
          <w:szCs w:val="32"/>
          <w:highlight w:val="none"/>
          <w:lang w:eastAsia="zh-CN"/>
        </w:rPr>
        <w:t>，</w:t>
      </w:r>
      <w:r>
        <w:rPr>
          <w:rFonts w:hint="eastAsia" w:eastAsia="仿宋_GB2312"/>
          <w:color w:val="auto"/>
          <w:kern w:val="0"/>
          <w:sz w:val="32"/>
          <w:szCs w:val="32"/>
          <w:highlight w:val="none"/>
          <w:lang w:eastAsia="zh-CN"/>
        </w:rPr>
        <w:t>市级商务部门</w:t>
      </w:r>
      <w:r>
        <w:rPr>
          <w:rFonts w:hint="eastAsia" w:eastAsia="仿宋_GB2312"/>
          <w:color w:val="auto"/>
          <w:kern w:val="0"/>
          <w:sz w:val="32"/>
          <w:szCs w:val="32"/>
          <w:highlight w:val="none"/>
        </w:rPr>
        <w:t>部门</w:t>
      </w:r>
      <w:r>
        <w:rPr>
          <w:rFonts w:hint="eastAsia" w:ascii="Times New Roman" w:hAnsi="Times New Roman" w:eastAsia="仿宋_GB2312" w:cs="Times New Roman"/>
          <w:color w:val="auto"/>
          <w:kern w:val="0"/>
          <w:sz w:val="32"/>
          <w:szCs w:val="32"/>
          <w:highlight w:val="none"/>
        </w:rPr>
        <w:t>会同应急、市场监管、</w:t>
      </w:r>
      <w:r>
        <w:rPr>
          <w:rFonts w:hint="eastAsia" w:ascii="Times New Roman" w:hAnsi="Times New Roman" w:eastAsia="仿宋_GB2312" w:cs="Times New Roman"/>
          <w:color w:val="auto"/>
          <w:kern w:val="0"/>
          <w:sz w:val="32"/>
          <w:szCs w:val="32"/>
          <w:highlight w:val="none"/>
          <w:lang w:eastAsia="zh-CN"/>
        </w:rPr>
        <w:t>住建</w:t>
      </w:r>
      <w:r>
        <w:rPr>
          <w:rFonts w:hint="eastAsia" w:ascii="Times New Roman" w:hAnsi="Times New Roman" w:eastAsia="仿宋_GB2312" w:cs="Times New Roman"/>
          <w:color w:val="auto"/>
          <w:kern w:val="0"/>
          <w:sz w:val="32"/>
          <w:szCs w:val="32"/>
          <w:highlight w:val="none"/>
        </w:rPr>
        <w:t>等部门</w:t>
      </w:r>
      <w:r>
        <w:rPr>
          <w:rFonts w:hint="eastAsia" w:ascii="Times New Roman" w:hAnsi="Times New Roman" w:eastAsia="仿宋_GB2312" w:cs="Times New Roman"/>
          <w:color w:val="auto"/>
          <w:kern w:val="0"/>
          <w:sz w:val="32"/>
          <w:szCs w:val="32"/>
          <w:highlight w:val="none"/>
          <w:lang w:eastAsia="zh-CN"/>
        </w:rPr>
        <w:t>进行</w:t>
      </w:r>
      <w:r>
        <w:rPr>
          <w:rFonts w:hint="eastAsia" w:ascii="Times New Roman" w:hAnsi="Times New Roman" w:eastAsia="仿宋_GB2312" w:cs="Times New Roman"/>
          <w:color w:val="auto"/>
          <w:kern w:val="0"/>
          <w:sz w:val="32"/>
          <w:szCs w:val="32"/>
          <w:highlight w:val="none"/>
        </w:rPr>
        <w:t>核实</w:t>
      </w:r>
      <w:r>
        <w:rPr>
          <w:rFonts w:hint="eastAsia" w:ascii="Times New Roman" w:hAnsi="Times New Roman" w:eastAsia="仿宋_GB2312" w:cs="Times New Roman"/>
          <w:color w:val="auto"/>
          <w:kern w:val="0"/>
          <w:sz w:val="32"/>
          <w:szCs w:val="32"/>
          <w:highlight w:val="none"/>
          <w:lang w:eastAsia="zh-CN"/>
        </w:rPr>
        <w:t>监管</w:t>
      </w:r>
      <w:r>
        <w:rPr>
          <w:rFonts w:hint="eastAsia" w:ascii="Times New Roman" w:hAnsi="Times New Roman" w:eastAsia="仿宋_GB2312" w:cs="Times New Roman"/>
          <w:color w:val="auto"/>
          <w:kern w:val="0"/>
          <w:sz w:val="32"/>
          <w:szCs w:val="32"/>
          <w:highlight w:val="none"/>
        </w:rPr>
        <w:t>。</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Times New Roman" w:hAnsi="Times New Roman" w:eastAsia="仿宋_GB2312" w:cs="Times New Roman"/>
          <w:color w:val="auto"/>
          <w:kern w:val="0"/>
          <w:sz w:val="32"/>
          <w:szCs w:val="32"/>
          <w:highlight w:val="none"/>
          <w:lang w:eastAsia="zh-CN"/>
        </w:rPr>
      </w:pPr>
      <w:r>
        <w:rPr>
          <w:rFonts w:ascii="Times New Roman" w:hAnsi="Times New Roman" w:eastAsia="楷体_GB2312" w:cs="Times New Roman"/>
          <w:b/>
          <w:bCs/>
          <w:color w:val="auto"/>
          <w:kern w:val="0"/>
          <w:sz w:val="32"/>
          <w:szCs w:val="32"/>
          <w:highlight w:val="none"/>
          <w:lang w:val="en-US" w:eastAsia="zh-CN" w:bidi="ar-SA"/>
        </w:rPr>
        <w:t>第二十</w:t>
      </w:r>
      <w:r>
        <w:rPr>
          <w:rFonts w:hint="eastAsia" w:ascii="Times New Roman" w:hAnsi="Times New Roman" w:eastAsia="楷体_GB2312" w:cs="Times New Roman"/>
          <w:b/>
          <w:bCs/>
          <w:color w:val="auto"/>
          <w:kern w:val="0"/>
          <w:sz w:val="32"/>
          <w:szCs w:val="32"/>
          <w:highlight w:val="none"/>
          <w:lang w:val="en-US" w:eastAsia="zh-CN" w:bidi="ar-SA"/>
        </w:rPr>
        <w:t>五</w:t>
      </w:r>
      <w:r>
        <w:rPr>
          <w:rFonts w:ascii="Times New Roman" w:hAnsi="Times New Roman" w:eastAsia="楷体_GB2312" w:cs="Times New Roman"/>
          <w:b/>
          <w:bCs/>
          <w:color w:val="auto"/>
          <w:kern w:val="0"/>
          <w:sz w:val="32"/>
          <w:szCs w:val="32"/>
          <w:highlight w:val="none"/>
          <w:lang w:val="en-US" w:eastAsia="zh-CN" w:bidi="ar-SA"/>
        </w:rPr>
        <w:t>条</w:t>
      </w:r>
      <w:r>
        <w:rPr>
          <w:rFonts w:hint="eastAsia" w:ascii="Times New Roman" w:hAnsi="Times New Roman" w:eastAsia="楷体_GB2312" w:cs="Times New Roman"/>
          <w:b/>
          <w:bCs/>
          <w:color w:val="auto"/>
          <w:kern w:val="0"/>
          <w:sz w:val="32"/>
          <w:szCs w:val="32"/>
          <w:highlight w:val="none"/>
          <w:lang w:val="en-US" w:eastAsia="zh-CN" w:bidi="ar-SA"/>
        </w:rPr>
        <w:t>【</w:t>
      </w:r>
      <w:r>
        <w:rPr>
          <w:rFonts w:ascii="Times New Roman" w:hAnsi="Times New Roman" w:eastAsia="楷体_GB2312" w:cs="Times New Roman"/>
          <w:b/>
          <w:bCs/>
          <w:color w:val="auto"/>
          <w:kern w:val="0"/>
          <w:sz w:val="32"/>
          <w:szCs w:val="32"/>
          <w:highlight w:val="none"/>
          <w:lang w:val="en-US" w:eastAsia="zh-CN" w:bidi="ar-SA"/>
        </w:rPr>
        <w:t>零售经营企业</w:t>
      </w:r>
      <w:r>
        <w:rPr>
          <w:rFonts w:hint="eastAsia" w:ascii="Times New Roman" w:hAnsi="Times New Roman" w:eastAsia="楷体_GB2312" w:cs="Times New Roman"/>
          <w:b/>
          <w:bCs/>
          <w:color w:val="auto"/>
          <w:kern w:val="0"/>
          <w:sz w:val="32"/>
          <w:szCs w:val="32"/>
          <w:highlight w:val="none"/>
          <w:lang w:val="en-US" w:eastAsia="zh-CN" w:bidi="ar-SA"/>
        </w:rPr>
        <w:t>证书管理】</w:t>
      </w:r>
      <w:r>
        <w:rPr>
          <w:rFonts w:hint="eastAsia" w:ascii="Segoe UI" w:hAnsi="Segoe UI" w:eastAsia="宋体" w:cs="Segoe UI"/>
          <w:i w:val="0"/>
          <w:caps w:val="0"/>
          <w:color w:val="auto"/>
          <w:spacing w:val="0"/>
          <w:sz w:val="27"/>
          <w:szCs w:val="27"/>
          <w:highlight w:val="none"/>
          <w:shd w:val="clear" w:color="auto" w:fill="FFFFFF"/>
          <w:lang w:val="en-US" w:eastAsia="zh-CN"/>
        </w:rPr>
        <w:t xml:space="preserve"> </w:t>
      </w:r>
      <w:r>
        <w:rPr>
          <w:rFonts w:hint="eastAsia" w:ascii="Times New Roman" w:hAnsi="Times New Roman" w:eastAsia="仿宋_GB2312" w:cs="Times New Roman"/>
          <w:color w:val="auto"/>
          <w:kern w:val="0"/>
          <w:sz w:val="32"/>
          <w:szCs w:val="32"/>
          <w:highlight w:val="none"/>
        </w:rPr>
        <w:t>成品油零售经营企业应当将成品油零售经营批准证书正本置于企业经营地址（场所）的醒目位置。成品油零售经营企业销售乙醇汽油和生物柴油等替代燃料，应当明示所销售替代燃料的油品种类和标号；加油设施罩棚标注的企业名称应当与成品油零售经营批准证书登记信息相符；加油站开展特许经营的，应当在加油站罩棚显著位置标识“特许”或“特许经营”字样</w:t>
      </w:r>
      <w:r>
        <w:rPr>
          <w:rFonts w:hint="eastAsia" w:ascii="Times New Roman" w:hAnsi="Times New Roman" w:eastAsia="仿宋_GB2312" w:cs="Times New Roman"/>
          <w:color w:val="auto"/>
          <w:kern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ascii="Times New Roman" w:hAnsi="Times New Roman" w:eastAsia="黑体" w:cs="Times New Roman"/>
          <w:color w:val="auto"/>
          <w:kern w:val="0"/>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Times New Roman" w:hAnsi="Times New Roman" w:eastAsia="黑体" w:cs="Times New Roman"/>
          <w:color w:val="auto"/>
          <w:kern w:val="0"/>
          <w:sz w:val="32"/>
          <w:szCs w:val="32"/>
          <w:highlight w:val="none"/>
          <w:lang w:eastAsia="zh-CN"/>
        </w:rPr>
      </w:pPr>
      <w:r>
        <w:rPr>
          <w:rFonts w:ascii="Times New Roman" w:hAnsi="Times New Roman" w:eastAsia="黑体" w:cs="Times New Roman"/>
          <w:color w:val="auto"/>
          <w:kern w:val="0"/>
          <w:sz w:val="32"/>
          <w:szCs w:val="32"/>
          <w:highlight w:val="none"/>
        </w:rPr>
        <w:t>第</w:t>
      </w:r>
      <w:r>
        <w:rPr>
          <w:rFonts w:hint="eastAsia" w:ascii="Times New Roman" w:hAnsi="Times New Roman" w:eastAsia="黑体" w:cs="Times New Roman"/>
          <w:color w:val="auto"/>
          <w:kern w:val="0"/>
          <w:sz w:val="32"/>
          <w:szCs w:val="32"/>
          <w:highlight w:val="none"/>
          <w:lang w:eastAsia="zh-CN"/>
        </w:rPr>
        <w:t>四</w:t>
      </w:r>
      <w:r>
        <w:rPr>
          <w:rFonts w:ascii="Times New Roman" w:hAnsi="Times New Roman" w:eastAsia="黑体" w:cs="Times New Roman"/>
          <w:color w:val="auto"/>
          <w:kern w:val="0"/>
          <w:sz w:val="32"/>
          <w:szCs w:val="32"/>
          <w:highlight w:val="none"/>
        </w:rPr>
        <w:t xml:space="preserve">章 </w:t>
      </w:r>
      <w:r>
        <w:rPr>
          <w:rFonts w:hint="eastAsia" w:ascii="Times New Roman" w:hAnsi="Times New Roman" w:eastAsia="黑体" w:cs="Times New Roman"/>
          <w:color w:val="auto"/>
          <w:kern w:val="0"/>
          <w:sz w:val="32"/>
          <w:szCs w:val="32"/>
          <w:highlight w:val="none"/>
          <w:lang w:eastAsia="zh-CN"/>
        </w:rPr>
        <w:t>监督管理</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jc w:val="left"/>
        <w:textAlignment w:val="auto"/>
        <w:rPr>
          <w:rFonts w:hint="eastAsia" w:ascii="Times New Roman" w:hAnsi="Times New Roman" w:eastAsia="仿宋_GB2312" w:cs="Times New Roman"/>
          <w:bCs w:val="0"/>
          <w:color w:val="auto"/>
          <w:kern w:val="0"/>
          <w:sz w:val="32"/>
          <w:szCs w:val="32"/>
          <w:highlight w:val="none"/>
          <w:lang w:val="en-US" w:eastAsia="zh-CN" w:bidi="ar-SA"/>
        </w:rPr>
      </w:pPr>
      <w:r>
        <w:rPr>
          <w:rFonts w:ascii="Times New Roman" w:hAnsi="Times New Roman" w:eastAsia="楷体_GB2312" w:cs="Times New Roman"/>
          <w:b/>
          <w:bCs/>
          <w:color w:val="auto"/>
          <w:kern w:val="0"/>
          <w:sz w:val="32"/>
          <w:szCs w:val="32"/>
          <w:highlight w:val="none"/>
          <w:lang w:val="en-US" w:eastAsia="zh-CN" w:bidi="ar-SA"/>
        </w:rPr>
        <w:t>第二十</w:t>
      </w:r>
      <w:r>
        <w:rPr>
          <w:rFonts w:hint="eastAsia" w:ascii="Times New Roman" w:hAnsi="Times New Roman" w:eastAsia="楷体_GB2312" w:cs="Times New Roman"/>
          <w:b/>
          <w:bCs/>
          <w:color w:val="auto"/>
          <w:kern w:val="0"/>
          <w:sz w:val="32"/>
          <w:szCs w:val="32"/>
          <w:highlight w:val="none"/>
          <w:lang w:val="en-US" w:eastAsia="zh-CN" w:bidi="ar-SA"/>
        </w:rPr>
        <w:t>六</w:t>
      </w:r>
      <w:r>
        <w:rPr>
          <w:rFonts w:ascii="Times New Roman" w:hAnsi="Times New Roman" w:eastAsia="楷体_GB2312" w:cs="Times New Roman"/>
          <w:b/>
          <w:bCs/>
          <w:color w:val="auto"/>
          <w:kern w:val="0"/>
          <w:sz w:val="32"/>
          <w:szCs w:val="32"/>
          <w:highlight w:val="none"/>
          <w:lang w:val="en-US" w:eastAsia="zh-CN" w:bidi="ar-SA"/>
        </w:rPr>
        <w:t>条</w:t>
      </w:r>
      <w:r>
        <w:rPr>
          <w:rFonts w:hint="eastAsia" w:ascii="Times New Roman" w:hAnsi="Times New Roman" w:eastAsia="楷体_GB2312" w:cs="Times New Roman"/>
          <w:b/>
          <w:bCs/>
          <w:color w:val="auto"/>
          <w:kern w:val="0"/>
          <w:sz w:val="32"/>
          <w:szCs w:val="32"/>
          <w:highlight w:val="none"/>
          <w:lang w:val="en-US" w:eastAsia="zh-CN" w:bidi="ar-SA"/>
        </w:rPr>
        <w:t xml:space="preserve">【成品油批发、仓储 经营企业名录管理】 </w:t>
      </w:r>
      <w:r>
        <w:rPr>
          <w:rFonts w:hint="eastAsia" w:ascii="Times New Roman" w:hAnsi="Times New Roman" w:eastAsia="仿宋_GB2312" w:cs="Times New Roman"/>
          <w:bCs w:val="0"/>
          <w:color w:val="auto"/>
          <w:kern w:val="0"/>
          <w:sz w:val="32"/>
          <w:szCs w:val="32"/>
          <w:highlight w:val="none"/>
          <w:lang w:val="en-US" w:eastAsia="zh-CN" w:bidi="ar-SA"/>
        </w:rPr>
        <w:t>省商务厅应当会同有关部门建立本行政区域内成品油批发、仓储、经营企业名录，各市级商务部门部门应当会同有关部门建立本行政区域内成品油零售经营企业名录，并向社会公布。</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Times New Roman" w:hAnsi="Times New Roman" w:eastAsia="仿宋_GB2312" w:cs="Times New Roman"/>
          <w:color w:val="auto"/>
          <w:kern w:val="0"/>
          <w:sz w:val="32"/>
          <w:szCs w:val="32"/>
          <w:highlight w:val="none"/>
        </w:rPr>
      </w:pPr>
      <w:r>
        <w:rPr>
          <w:rFonts w:ascii="Times New Roman" w:hAnsi="Times New Roman" w:eastAsia="楷体_GB2312" w:cs="Times New Roman"/>
          <w:b/>
          <w:bCs/>
          <w:color w:val="auto"/>
          <w:kern w:val="0"/>
          <w:sz w:val="32"/>
          <w:szCs w:val="32"/>
          <w:highlight w:val="none"/>
          <w:lang w:val="en-US" w:eastAsia="zh-CN" w:bidi="ar-SA"/>
        </w:rPr>
        <w:t>第二十</w:t>
      </w:r>
      <w:r>
        <w:rPr>
          <w:rFonts w:hint="eastAsia" w:ascii="Times New Roman" w:hAnsi="Times New Roman" w:eastAsia="楷体_GB2312" w:cs="Times New Roman"/>
          <w:b/>
          <w:bCs/>
          <w:color w:val="auto"/>
          <w:kern w:val="0"/>
          <w:sz w:val="32"/>
          <w:szCs w:val="32"/>
          <w:highlight w:val="none"/>
          <w:lang w:val="en-US" w:eastAsia="zh-CN" w:bidi="ar-SA"/>
        </w:rPr>
        <w:t>七</w:t>
      </w:r>
      <w:r>
        <w:rPr>
          <w:rFonts w:ascii="Times New Roman" w:hAnsi="Times New Roman" w:eastAsia="楷体_GB2312" w:cs="Times New Roman"/>
          <w:b/>
          <w:bCs/>
          <w:color w:val="auto"/>
          <w:kern w:val="0"/>
          <w:sz w:val="32"/>
          <w:szCs w:val="32"/>
          <w:highlight w:val="none"/>
          <w:lang w:val="en-US" w:eastAsia="zh-CN" w:bidi="ar-SA"/>
        </w:rPr>
        <w:t>条</w:t>
      </w:r>
      <w:r>
        <w:rPr>
          <w:rFonts w:hint="eastAsia" w:ascii="Times New Roman" w:hAnsi="Times New Roman" w:eastAsia="楷体_GB2312" w:cs="Times New Roman"/>
          <w:b/>
          <w:bCs/>
          <w:color w:val="auto"/>
          <w:kern w:val="0"/>
          <w:sz w:val="32"/>
          <w:szCs w:val="32"/>
          <w:highlight w:val="none"/>
          <w:lang w:val="en-US" w:eastAsia="zh-CN" w:bidi="ar-SA"/>
        </w:rPr>
        <w:t xml:space="preserve">【全国石油市场管理应用管理】 </w:t>
      </w:r>
      <w:r>
        <w:rPr>
          <w:rFonts w:hint="eastAsia" w:ascii="Times New Roman" w:hAnsi="Times New Roman" w:eastAsia="仿宋_GB2312" w:cs="Times New Roman"/>
          <w:color w:val="auto"/>
          <w:kern w:val="0"/>
          <w:sz w:val="32"/>
          <w:szCs w:val="32"/>
          <w:highlight w:val="none"/>
        </w:rPr>
        <w:t>成品油批发、仓储经营企业有下列情形之一的，</w:t>
      </w:r>
      <w:r>
        <w:rPr>
          <w:rFonts w:hint="eastAsia" w:ascii="Times New Roman" w:hAnsi="Times New Roman" w:eastAsia="仿宋_GB2312" w:cs="Times New Roman"/>
          <w:color w:val="auto"/>
          <w:kern w:val="0"/>
          <w:sz w:val="32"/>
          <w:szCs w:val="32"/>
          <w:highlight w:val="none"/>
          <w:lang w:eastAsia="zh-CN"/>
        </w:rPr>
        <w:t>省商务厅</w:t>
      </w:r>
      <w:r>
        <w:rPr>
          <w:rFonts w:hint="eastAsia" w:ascii="Times New Roman" w:hAnsi="Times New Roman" w:eastAsia="仿宋_GB2312" w:cs="Times New Roman"/>
          <w:color w:val="auto"/>
          <w:kern w:val="0"/>
          <w:sz w:val="32"/>
          <w:szCs w:val="32"/>
          <w:highlight w:val="none"/>
        </w:rPr>
        <w:t>应当在“全国石油市场管理应用”中予以标注，并推送有关部门：</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（一）通过隐瞒有关情况或者提供虚假材料完成备案的；</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（二）营业执照、危险化学品经营许可证或港口经营许可证已过期或失效的；</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lang w:eastAsia="zh-CN"/>
        </w:rPr>
      </w:pPr>
      <w:r>
        <w:rPr>
          <w:rFonts w:hint="eastAsia" w:ascii="Times New Roman" w:hAnsi="Times New Roman" w:eastAsia="仿宋_GB2312" w:cs="Times New Roman"/>
          <w:color w:val="auto"/>
          <w:kern w:val="0"/>
          <w:sz w:val="32"/>
          <w:szCs w:val="32"/>
          <w:highlight w:val="none"/>
        </w:rPr>
        <w:t>（三）根据本</w:t>
      </w:r>
      <w:r>
        <w:rPr>
          <w:rFonts w:hint="eastAsia" w:ascii="Times New Roman" w:hAnsi="Times New Roman" w:eastAsia="仿宋_GB2312" w:cs="Times New Roman"/>
          <w:color w:val="auto"/>
          <w:kern w:val="0"/>
          <w:sz w:val="32"/>
          <w:szCs w:val="32"/>
          <w:highlight w:val="none"/>
          <w:lang w:eastAsia="zh-CN"/>
        </w:rPr>
        <w:t>细则</w:t>
      </w:r>
      <w:r>
        <w:rPr>
          <w:rFonts w:hint="eastAsia" w:ascii="Times New Roman" w:hAnsi="Times New Roman" w:eastAsia="仿宋_GB2312" w:cs="Times New Roman"/>
          <w:color w:val="auto"/>
          <w:kern w:val="0"/>
          <w:sz w:val="32"/>
          <w:szCs w:val="32"/>
          <w:highlight w:val="none"/>
        </w:rPr>
        <w:t>第三十八条、第三十九条规定受到行政处罚的。</w:t>
      </w:r>
    </w:p>
    <w:p>
      <w:pPr>
        <w:pageBreakBefore w:val="0"/>
        <w:kinsoku/>
        <w:overflowPunct w:val="0"/>
        <w:topLinePunct w:val="0"/>
        <w:bidi w:val="0"/>
        <w:snapToGrid/>
        <w:spacing w:line="560" w:lineRule="exact"/>
        <w:ind w:firstLine="643" w:firstLineChars="200"/>
        <w:textAlignment w:val="auto"/>
        <w:rPr>
          <w:rFonts w:ascii="Times New Roman" w:hAnsi="Times New Roman" w:eastAsia="仿宋_GB2312" w:cs="Times New Roman"/>
          <w:color w:val="auto"/>
          <w:kern w:val="0"/>
          <w:sz w:val="32"/>
          <w:szCs w:val="32"/>
          <w:highlight w:val="none"/>
        </w:rPr>
      </w:pPr>
      <w:r>
        <w:rPr>
          <w:rFonts w:ascii="Times New Roman" w:hAnsi="Times New Roman" w:eastAsia="楷体_GB2312" w:cs="Times New Roman"/>
          <w:b/>
          <w:bCs/>
          <w:color w:val="auto"/>
          <w:kern w:val="0"/>
          <w:sz w:val="32"/>
          <w:szCs w:val="32"/>
          <w:highlight w:val="none"/>
          <w:lang w:val="en-US" w:eastAsia="zh-CN" w:bidi="ar-SA"/>
        </w:rPr>
        <w:t>第二十</w:t>
      </w:r>
      <w:r>
        <w:rPr>
          <w:rFonts w:hint="eastAsia" w:ascii="Times New Roman" w:hAnsi="Times New Roman" w:eastAsia="楷体_GB2312" w:cs="Times New Roman"/>
          <w:b/>
          <w:bCs/>
          <w:color w:val="auto"/>
          <w:kern w:val="0"/>
          <w:sz w:val="32"/>
          <w:szCs w:val="32"/>
          <w:highlight w:val="none"/>
          <w:lang w:val="en-US" w:eastAsia="zh-CN" w:bidi="ar-SA"/>
        </w:rPr>
        <w:t>八</w:t>
      </w:r>
      <w:r>
        <w:rPr>
          <w:rFonts w:ascii="Times New Roman" w:hAnsi="Times New Roman" w:eastAsia="楷体_GB2312" w:cs="Times New Roman"/>
          <w:b/>
          <w:bCs/>
          <w:color w:val="auto"/>
          <w:kern w:val="0"/>
          <w:sz w:val="32"/>
          <w:szCs w:val="32"/>
          <w:highlight w:val="none"/>
          <w:lang w:val="en-US" w:eastAsia="zh-CN" w:bidi="ar-SA"/>
        </w:rPr>
        <w:t>条</w:t>
      </w:r>
      <w:r>
        <w:rPr>
          <w:rFonts w:hint="eastAsia" w:ascii="Times New Roman" w:hAnsi="Times New Roman" w:eastAsia="楷体_GB2312" w:cs="Times New Roman"/>
          <w:b/>
          <w:bCs/>
          <w:color w:val="auto"/>
          <w:kern w:val="0"/>
          <w:sz w:val="32"/>
          <w:szCs w:val="32"/>
          <w:highlight w:val="none"/>
          <w:lang w:val="en-US" w:eastAsia="zh-CN" w:bidi="ar-SA"/>
        </w:rPr>
        <w:t xml:space="preserve">【成品油零售体系规划管理】 </w:t>
      </w:r>
      <w:r>
        <w:rPr>
          <w:rFonts w:hint="eastAsia" w:ascii="Times New Roman" w:hAnsi="Times New Roman" w:eastAsia="仿宋_GB2312" w:cs="Times New Roman"/>
          <w:color w:val="auto"/>
          <w:kern w:val="0"/>
          <w:sz w:val="32"/>
          <w:szCs w:val="32"/>
          <w:highlight w:val="none"/>
          <w:lang w:eastAsia="zh-CN"/>
        </w:rPr>
        <w:t>省商务厅</w:t>
      </w:r>
      <w:r>
        <w:rPr>
          <w:rFonts w:hint="eastAsia" w:ascii="Times New Roman" w:hAnsi="Times New Roman" w:eastAsia="仿宋_GB2312" w:cs="Times New Roman"/>
          <w:color w:val="auto"/>
          <w:kern w:val="0"/>
          <w:sz w:val="32"/>
          <w:szCs w:val="32"/>
          <w:highlight w:val="none"/>
        </w:rPr>
        <w:t>应当坚持优化存量、按需增量原则，对</w:t>
      </w:r>
      <w:r>
        <w:rPr>
          <w:rFonts w:hint="eastAsia" w:ascii="Times New Roman" w:hAnsi="Times New Roman" w:eastAsia="仿宋_GB2312" w:cs="Times New Roman"/>
          <w:color w:val="auto"/>
          <w:kern w:val="0"/>
          <w:sz w:val="32"/>
          <w:szCs w:val="32"/>
          <w:highlight w:val="none"/>
          <w:lang w:eastAsia="zh-CN"/>
        </w:rPr>
        <w:t>各市级商务部门部门</w:t>
      </w:r>
      <w:r>
        <w:rPr>
          <w:rFonts w:hint="eastAsia" w:ascii="Times New Roman" w:hAnsi="Times New Roman" w:eastAsia="仿宋_GB2312" w:cs="Times New Roman"/>
          <w:color w:val="auto"/>
          <w:kern w:val="0"/>
          <w:sz w:val="32"/>
          <w:szCs w:val="32"/>
          <w:highlight w:val="none"/>
        </w:rPr>
        <w:t>编制成品油零售体系发展规划进行指导。规划编制要符合《成品油零售企业管理技术规范》加油站设置间距要求，充分考虑农村地区用油需求</w:t>
      </w:r>
      <w:r>
        <w:rPr>
          <w:rFonts w:hint="eastAsia" w:ascii="Times New Roman" w:hAnsi="Times New Roman" w:eastAsia="仿宋_GB2312" w:cs="Times New Roman"/>
          <w:color w:val="auto"/>
          <w:kern w:val="0"/>
          <w:sz w:val="32"/>
          <w:szCs w:val="32"/>
          <w:highlight w:val="none"/>
          <w:lang w:val="en-US" w:eastAsia="zh-CN"/>
        </w:rPr>
        <w:t>。</w:t>
      </w:r>
      <w:r>
        <w:rPr>
          <w:rFonts w:hint="eastAsia" w:ascii="Times New Roman" w:hAnsi="Times New Roman" w:eastAsia="仿宋_GB2312" w:cs="Times New Roman"/>
          <w:color w:val="auto"/>
          <w:kern w:val="0"/>
          <w:sz w:val="32"/>
          <w:szCs w:val="32"/>
          <w:highlight w:val="none"/>
        </w:rPr>
        <w:t>支持农村加油点按照新建加油站设置程序和要求升级为加油站</w:t>
      </w:r>
      <w:r>
        <w:rPr>
          <w:rFonts w:hint="eastAsia" w:ascii="Times New Roman" w:hAnsi="Times New Roman" w:eastAsia="仿宋_GB2312" w:cs="Times New Roman"/>
          <w:color w:val="auto"/>
          <w:kern w:val="0"/>
          <w:sz w:val="32"/>
          <w:szCs w:val="32"/>
          <w:highlight w:val="none"/>
          <w:lang w:eastAsia="zh-CN"/>
        </w:rPr>
        <w:t>，</w:t>
      </w:r>
      <w:r>
        <w:rPr>
          <w:rFonts w:hint="eastAsia" w:ascii="仿宋_GB2312" w:hAnsi="仿宋_GB2312" w:eastAsia="仿宋_GB2312" w:cs="仿宋_GB2312"/>
          <w:color w:val="auto"/>
          <w:kern w:val="2"/>
          <w:sz w:val="32"/>
          <w:szCs w:val="32"/>
          <w:highlight w:val="none"/>
          <w:lang w:eastAsia="zh-CN"/>
        </w:rPr>
        <w:t>对符合规划、加油站设置条件且正常经营的农村加油点可通过改造升级为加油站。</w:t>
      </w:r>
      <w:r>
        <w:rPr>
          <w:rFonts w:eastAsia="仿宋_GB2312"/>
          <w:color w:val="auto"/>
          <w:kern w:val="0"/>
          <w:sz w:val="32"/>
          <w:szCs w:val="32"/>
          <w:highlight w:val="none"/>
        </w:rPr>
        <w:t>新建、迁建成品油零售</w:t>
      </w:r>
      <w:r>
        <w:rPr>
          <w:rFonts w:hint="eastAsia" w:eastAsia="仿宋_GB2312"/>
          <w:color w:val="auto"/>
          <w:kern w:val="0"/>
          <w:sz w:val="32"/>
          <w:szCs w:val="32"/>
          <w:highlight w:val="none"/>
          <w:lang w:eastAsia="zh-CN"/>
        </w:rPr>
        <w:t>经营</w:t>
      </w:r>
      <w:r>
        <w:rPr>
          <w:rFonts w:eastAsia="仿宋_GB2312"/>
          <w:color w:val="auto"/>
          <w:kern w:val="0"/>
          <w:sz w:val="32"/>
          <w:szCs w:val="32"/>
          <w:highlight w:val="none"/>
        </w:rPr>
        <w:t>网点等设施，应符合所在</w:t>
      </w:r>
      <w:r>
        <w:rPr>
          <w:rFonts w:hint="eastAsia" w:eastAsia="仿宋_GB2312"/>
          <w:color w:val="auto"/>
          <w:kern w:val="0"/>
          <w:sz w:val="32"/>
          <w:szCs w:val="32"/>
          <w:highlight w:val="none"/>
        </w:rPr>
        <w:t>地</w:t>
      </w:r>
      <w:r>
        <w:rPr>
          <w:rFonts w:eastAsia="仿宋_GB2312"/>
          <w:color w:val="auto"/>
          <w:kern w:val="0"/>
          <w:sz w:val="32"/>
          <w:szCs w:val="32"/>
          <w:highlight w:val="none"/>
        </w:rPr>
        <w:t>成品油零售体系发展规划</w:t>
      </w:r>
      <w:r>
        <w:rPr>
          <w:rFonts w:hint="eastAsia" w:eastAsia="仿宋_GB2312"/>
          <w:color w:val="auto"/>
          <w:kern w:val="0"/>
          <w:sz w:val="32"/>
          <w:szCs w:val="32"/>
          <w:highlight w:val="none"/>
        </w:rPr>
        <w:t>，</w:t>
      </w:r>
      <w:r>
        <w:rPr>
          <w:rFonts w:hint="eastAsia" w:ascii="Times New Roman" w:hAnsi="Times New Roman" w:eastAsia="仿宋_GB2312" w:cs="Times New Roman"/>
          <w:color w:val="auto"/>
          <w:kern w:val="0"/>
          <w:sz w:val="32"/>
          <w:szCs w:val="32"/>
          <w:highlight w:val="none"/>
          <w:lang w:eastAsia="zh-CN"/>
        </w:rPr>
        <w:t>每个乡镇至少规划</w:t>
      </w:r>
      <w:r>
        <w:rPr>
          <w:rFonts w:hint="eastAsia" w:ascii="仿宋_GB2312" w:hAnsi="仿宋_GB2312" w:eastAsia="仿宋_GB2312" w:cs="仿宋_GB2312"/>
          <w:color w:val="auto"/>
          <w:kern w:val="0"/>
          <w:sz w:val="32"/>
          <w:szCs w:val="32"/>
          <w:highlight w:val="none"/>
          <w:lang w:val="en-US" w:eastAsia="zh-CN"/>
        </w:rPr>
        <w:t>1座</w:t>
      </w:r>
      <w:r>
        <w:rPr>
          <w:rFonts w:hint="eastAsia" w:ascii="Times New Roman" w:hAnsi="Times New Roman" w:eastAsia="仿宋_GB2312" w:cs="Times New Roman"/>
          <w:color w:val="auto"/>
          <w:kern w:val="0"/>
          <w:sz w:val="32"/>
          <w:szCs w:val="32"/>
          <w:highlight w:val="none"/>
          <w:lang w:val="en-US" w:eastAsia="zh-CN"/>
        </w:rPr>
        <w:t>零售网点，</w:t>
      </w:r>
      <w:r>
        <w:rPr>
          <w:rFonts w:hint="eastAsia" w:eastAsia="仿宋_GB2312"/>
          <w:color w:val="auto"/>
          <w:kern w:val="0"/>
          <w:sz w:val="32"/>
          <w:szCs w:val="32"/>
          <w:highlight w:val="none"/>
        </w:rPr>
        <w:t>由</w:t>
      </w:r>
      <w:r>
        <w:rPr>
          <w:rFonts w:hint="eastAsia" w:eastAsia="仿宋_GB2312"/>
          <w:color w:val="auto"/>
          <w:kern w:val="0"/>
          <w:sz w:val="32"/>
          <w:szCs w:val="32"/>
          <w:highlight w:val="none"/>
          <w:lang w:eastAsia="zh-CN"/>
        </w:rPr>
        <w:t>市级商务部门</w:t>
      </w:r>
      <w:r>
        <w:rPr>
          <w:rFonts w:hint="eastAsia" w:eastAsia="仿宋_GB2312"/>
          <w:color w:val="auto"/>
          <w:kern w:val="0"/>
          <w:sz w:val="32"/>
          <w:szCs w:val="32"/>
          <w:highlight w:val="none"/>
        </w:rPr>
        <w:t>部门对符合条件的成品油零售网点出具规划确认</w:t>
      </w:r>
      <w:r>
        <w:rPr>
          <w:rFonts w:hint="eastAsia" w:ascii="Times New Roman" w:hAnsi="Times New Roman" w:eastAsia="仿宋_GB2312" w:cs="Times New Roman"/>
          <w:color w:val="auto"/>
          <w:kern w:val="0"/>
          <w:sz w:val="32"/>
          <w:szCs w:val="32"/>
          <w:highlight w:val="none"/>
        </w:rPr>
        <w:t>文件</w:t>
      </w:r>
      <w:r>
        <w:rPr>
          <w:rFonts w:ascii="Times New Roman" w:hAnsi="Times New Roman" w:eastAsia="仿宋_GB2312" w:cs="Times New Roman"/>
          <w:color w:val="auto"/>
          <w:kern w:val="0"/>
          <w:sz w:val="32"/>
          <w:szCs w:val="32"/>
          <w:highlight w:val="none"/>
        </w:rPr>
        <w:t>。</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申请成品油零售经营网点规划确认应提交下列材料：</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lang w:eastAsia="zh-CN"/>
        </w:rPr>
        <w:t>（一）</w:t>
      </w:r>
      <w:r>
        <w:rPr>
          <w:rFonts w:hint="eastAsia" w:ascii="仿宋_GB2312" w:hAnsi="仿宋" w:eastAsia="仿宋_GB2312"/>
          <w:color w:val="auto"/>
          <w:kern w:val="0"/>
          <w:sz w:val="32"/>
          <w:szCs w:val="32"/>
        </w:rPr>
        <w:t>《贵州省成品油零售经营网点规划确认申请表》</w:t>
      </w:r>
      <w:r>
        <w:rPr>
          <w:rFonts w:hint="eastAsia" w:ascii="仿宋_GB2312" w:hAnsi="仿宋" w:eastAsia="仿宋_GB2312"/>
          <w:color w:val="auto"/>
          <w:kern w:val="0"/>
          <w:sz w:val="32"/>
          <w:szCs w:val="32"/>
          <w:lang w:eastAsia="zh-CN"/>
        </w:rPr>
        <w:t>（</w:t>
      </w:r>
      <w:r>
        <w:rPr>
          <w:rFonts w:hint="eastAsia" w:ascii="仿宋_GB2312" w:hAnsi="仿宋" w:eastAsia="仿宋_GB2312"/>
          <w:color w:val="auto"/>
          <w:kern w:val="0"/>
          <w:sz w:val="32"/>
          <w:szCs w:val="32"/>
        </w:rPr>
        <w:t>含申报材料真实性承诺</w:t>
      </w:r>
      <w:r>
        <w:rPr>
          <w:rFonts w:hint="eastAsia" w:ascii="仿宋_GB2312" w:hAnsi="仿宋" w:eastAsia="仿宋_GB2312"/>
          <w:color w:val="auto"/>
          <w:kern w:val="0"/>
          <w:sz w:val="32"/>
          <w:szCs w:val="32"/>
          <w:lang w:eastAsia="zh-CN"/>
        </w:rPr>
        <w:t>）</w:t>
      </w:r>
      <w:r>
        <w:rPr>
          <w:rFonts w:hint="eastAsia" w:ascii="仿宋_GB2312" w:hAnsi="仿宋" w:eastAsia="仿宋_GB2312"/>
          <w:color w:val="auto"/>
          <w:kern w:val="0"/>
          <w:sz w:val="32"/>
          <w:szCs w:val="32"/>
        </w:rPr>
        <w:t>；</w:t>
      </w:r>
    </w:p>
    <w:p>
      <w:pPr>
        <w:pageBreakBefore w:val="0"/>
        <w:kinsoku/>
        <w:overflowPunct w:val="0"/>
        <w:topLinePunct w:val="0"/>
        <w:bidi w:val="0"/>
        <w:snapToGrid/>
        <w:spacing w:line="560" w:lineRule="exact"/>
        <w:ind w:firstLine="640" w:firstLineChars="200"/>
        <w:textAlignment w:val="auto"/>
        <w:rPr>
          <w:rFonts w:hint="eastAsia" w:ascii="仿宋_GB2312" w:hAnsi="仿宋" w:eastAsia="仿宋_GB2312"/>
          <w:color w:val="auto"/>
          <w:kern w:val="0"/>
          <w:sz w:val="32"/>
          <w:szCs w:val="32"/>
        </w:rPr>
      </w:pPr>
      <w:r>
        <w:rPr>
          <w:rFonts w:hint="eastAsia" w:ascii="仿宋_GB2312" w:hAnsi="仿宋" w:eastAsia="仿宋_GB2312"/>
          <w:color w:val="auto"/>
          <w:kern w:val="0"/>
          <w:sz w:val="32"/>
          <w:szCs w:val="32"/>
        </w:rPr>
        <w:t>（二）选址位置周边成品油零售经营网点分布示意图；</w:t>
      </w:r>
    </w:p>
    <w:p>
      <w:pPr>
        <w:pStyle w:val="20"/>
        <w:rPr>
          <w:rFonts w:hint="eastAsia" w:eastAsia="仿宋_GB2312"/>
          <w:color w:val="auto"/>
          <w:lang w:eastAsia="zh-CN"/>
        </w:rPr>
      </w:pPr>
      <w:r>
        <w:rPr>
          <w:rFonts w:hint="eastAsia" w:ascii="仿宋_GB2312" w:hAnsi="仿宋" w:eastAsia="仿宋_GB2312"/>
          <w:color w:val="auto"/>
          <w:kern w:val="0"/>
          <w:sz w:val="32"/>
          <w:szCs w:val="32"/>
          <w:lang w:eastAsia="zh-CN"/>
        </w:rPr>
        <w:t>（三）土地产权（土地成交确认书、高速公路站点提供</w:t>
      </w:r>
      <w:r>
        <w:rPr>
          <w:rFonts w:hint="eastAsia" w:ascii="仿宋_GB2312" w:hAnsi="仿宋_GB2312" w:eastAsia="仿宋_GB2312" w:cs="仿宋_GB2312"/>
          <w:color w:val="auto"/>
          <w:sz w:val="32"/>
          <w:szCs w:val="32"/>
          <w:highlight w:val="none"/>
          <w:lang w:eastAsia="zh-CN"/>
        </w:rPr>
        <w:t>地使用证明文件</w:t>
      </w:r>
      <w:r>
        <w:rPr>
          <w:rFonts w:hint="eastAsia" w:ascii="仿宋_GB2312" w:hAnsi="仿宋" w:eastAsia="仿宋_GB2312"/>
          <w:color w:val="auto"/>
          <w:kern w:val="0"/>
          <w:sz w:val="32"/>
          <w:szCs w:val="32"/>
          <w:lang w:eastAsia="zh-CN"/>
        </w:rPr>
        <w:t>）；</w:t>
      </w:r>
    </w:p>
    <w:p>
      <w:pPr>
        <w:pageBreakBefore w:val="0"/>
        <w:kinsoku/>
        <w:overflowPunct w:val="0"/>
        <w:topLinePunct w:val="0"/>
        <w:bidi w:val="0"/>
        <w:snapToGrid/>
        <w:spacing w:line="560" w:lineRule="exact"/>
        <w:ind w:firstLine="640" w:firstLineChars="200"/>
        <w:textAlignment w:val="auto"/>
        <w:rPr>
          <w:rFonts w:ascii="仿宋_GB2312" w:hAnsi="仿宋" w:eastAsia="仿宋_GB2312"/>
          <w:color w:val="auto"/>
          <w:kern w:val="0"/>
          <w:sz w:val="32"/>
          <w:szCs w:val="32"/>
        </w:rPr>
      </w:pPr>
      <w:r>
        <w:rPr>
          <w:rFonts w:hint="eastAsia" w:ascii="仿宋_GB2312" w:hAnsi="仿宋" w:eastAsia="仿宋_GB2312"/>
          <w:color w:val="auto"/>
          <w:kern w:val="0"/>
          <w:sz w:val="32"/>
          <w:szCs w:val="32"/>
        </w:rPr>
        <w:t>（</w:t>
      </w:r>
      <w:r>
        <w:rPr>
          <w:rFonts w:hint="eastAsia" w:ascii="仿宋_GB2312" w:hAnsi="仿宋" w:eastAsia="仿宋_GB2312"/>
          <w:color w:val="auto"/>
          <w:kern w:val="0"/>
          <w:sz w:val="32"/>
          <w:szCs w:val="32"/>
          <w:lang w:eastAsia="zh-CN"/>
        </w:rPr>
        <w:t>四</w:t>
      </w:r>
      <w:r>
        <w:rPr>
          <w:rFonts w:hint="eastAsia" w:ascii="仿宋_GB2312" w:hAnsi="仿宋" w:eastAsia="仿宋_GB2312"/>
          <w:color w:val="auto"/>
          <w:kern w:val="0"/>
          <w:sz w:val="32"/>
          <w:szCs w:val="32"/>
        </w:rPr>
        <w:t>）选址位置的卫星定位数据。</w:t>
      </w:r>
    </w:p>
    <w:p>
      <w:pPr>
        <w:pageBreakBefore w:val="0"/>
        <w:kinsoku/>
        <w:overflowPunct w:val="0"/>
        <w:topLinePunct w:val="0"/>
        <w:bidi w:val="0"/>
        <w:snapToGrid/>
        <w:spacing w:line="560" w:lineRule="exact"/>
        <w:ind w:firstLine="640" w:firstLineChars="200"/>
        <w:textAlignment w:val="auto"/>
        <w:rPr>
          <w:rFonts w:ascii="Times New Roman" w:hAnsi="Times New Roman" w:eastAsia="仿宋_GB2312" w:cs="Times New Roman"/>
          <w:color w:val="auto"/>
          <w:kern w:val="0"/>
          <w:sz w:val="32"/>
          <w:szCs w:val="32"/>
          <w:highlight w:val="none"/>
        </w:rPr>
      </w:pPr>
      <w:r>
        <w:rPr>
          <w:rFonts w:hint="eastAsia" w:ascii="仿宋_GB2312" w:hAnsi="仿宋" w:eastAsia="仿宋_GB2312"/>
          <w:color w:val="auto"/>
          <w:kern w:val="0"/>
          <w:sz w:val="32"/>
          <w:szCs w:val="32"/>
          <w:lang w:eastAsia="zh-CN"/>
        </w:rPr>
        <w:t>市级商务部门</w:t>
      </w:r>
      <w:r>
        <w:rPr>
          <w:rFonts w:hint="eastAsia" w:ascii="仿宋_GB2312" w:hAnsi="仿宋" w:eastAsia="仿宋_GB2312"/>
          <w:color w:val="auto"/>
          <w:kern w:val="0"/>
          <w:sz w:val="32"/>
          <w:szCs w:val="32"/>
        </w:rPr>
        <w:t>审核合格并公示5个工作日，经公示无异议后，出具成品油零售经营网点规划确认文件。对不符合零售经营网点规划确认条件的申请，说明理由、退回并告知申请人。加油站规划确认文件有效期</w:t>
      </w:r>
      <w:r>
        <w:rPr>
          <w:rFonts w:hint="eastAsia" w:ascii="仿宋_GB2312" w:hAnsi="仿宋" w:eastAsia="仿宋_GB2312"/>
          <w:color w:val="auto"/>
          <w:kern w:val="0"/>
          <w:sz w:val="32"/>
          <w:szCs w:val="32"/>
          <w:lang w:val="en-US" w:eastAsia="zh-CN"/>
        </w:rPr>
        <w:t>1</w:t>
      </w:r>
      <w:r>
        <w:rPr>
          <w:rFonts w:hint="eastAsia" w:ascii="仿宋_GB2312" w:hAnsi="仿宋" w:eastAsia="仿宋_GB2312"/>
          <w:color w:val="auto"/>
          <w:kern w:val="0"/>
          <w:sz w:val="32"/>
          <w:szCs w:val="32"/>
        </w:rPr>
        <w:t>年。自批复之日起，</w:t>
      </w:r>
      <w:r>
        <w:rPr>
          <w:rFonts w:hint="eastAsia" w:ascii="仿宋_GB2312" w:hAnsi="仿宋" w:eastAsia="仿宋_GB2312"/>
          <w:color w:val="auto"/>
          <w:kern w:val="0"/>
          <w:sz w:val="32"/>
          <w:szCs w:val="32"/>
          <w:lang w:val="en-US" w:eastAsia="zh-CN"/>
        </w:rPr>
        <w:t>1</w:t>
      </w:r>
      <w:r>
        <w:rPr>
          <w:rFonts w:hint="eastAsia" w:ascii="仿宋_GB2312" w:hAnsi="仿宋" w:eastAsia="仿宋_GB2312"/>
          <w:color w:val="auto"/>
          <w:kern w:val="0"/>
          <w:sz w:val="32"/>
          <w:szCs w:val="32"/>
        </w:rPr>
        <w:t>年内未完成建设的加油站，</w:t>
      </w:r>
      <w:r>
        <w:rPr>
          <w:rFonts w:hint="eastAsia" w:ascii="仿宋_GB2312" w:hAnsi="仿宋" w:eastAsia="仿宋_GB2312"/>
          <w:color w:val="auto"/>
          <w:kern w:val="0"/>
          <w:sz w:val="32"/>
          <w:szCs w:val="32"/>
          <w:lang w:eastAsia="zh-CN"/>
        </w:rPr>
        <w:t>可以</w:t>
      </w:r>
      <w:r>
        <w:rPr>
          <w:rFonts w:hint="eastAsia" w:ascii="仿宋_GB2312" w:hAnsi="仿宋" w:eastAsia="仿宋_GB2312"/>
          <w:color w:val="auto"/>
          <w:kern w:val="0"/>
          <w:sz w:val="32"/>
          <w:szCs w:val="32"/>
        </w:rPr>
        <w:t>向审批部门说明未建成原因并申请延期，延期建设可申请一次且延期不超过1年。</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lang w:eastAsia="zh-CN"/>
        </w:rPr>
        <w:t>成</w:t>
      </w:r>
      <w:r>
        <w:rPr>
          <w:rFonts w:hint="eastAsia" w:ascii="Times New Roman" w:hAnsi="Times New Roman" w:eastAsia="仿宋_GB2312" w:cs="Times New Roman"/>
          <w:color w:val="auto"/>
          <w:kern w:val="0"/>
          <w:sz w:val="32"/>
          <w:szCs w:val="32"/>
          <w:highlight w:val="none"/>
        </w:rPr>
        <w:t>品油零售</w:t>
      </w:r>
      <w:r>
        <w:rPr>
          <w:rFonts w:hint="eastAsia" w:ascii="Times New Roman" w:hAnsi="Times New Roman" w:eastAsia="仿宋_GB2312" w:cs="Times New Roman"/>
          <w:color w:val="auto"/>
          <w:kern w:val="0"/>
          <w:sz w:val="32"/>
          <w:szCs w:val="32"/>
          <w:highlight w:val="none"/>
          <w:lang w:eastAsia="zh-CN"/>
        </w:rPr>
        <w:t>经营</w:t>
      </w:r>
      <w:r>
        <w:rPr>
          <w:rFonts w:hint="eastAsia" w:ascii="Times New Roman" w:hAnsi="Times New Roman" w:eastAsia="仿宋_GB2312" w:cs="Times New Roman"/>
          <w:color w:val="auto"/>
          <w:kern w:val="0"/>
          <w:sz w:val="32"/>
          <w:szCs w:val="32"/>
          <w:highlight w:val="none"/>
        </w:rPr>
        <w:t>网点设置应当符合下列间距要求：</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（一）各</w:t>
      </w:r>
      <w:r>
        <w:rPr>
          <w:rFonts w:hint="eastAsia" w:ascii="仿宋_GB2312" w:hAnsi="仿宋_GB2312" w:eastAsia="仿宋_GB2312" w:cs="仿宋_GB2312"/>
          <w:color w:val="auto"/>
          <w:kern w:val="0"/>
          <w:sz w:val="32"/>
          <w:szCs w:val="32"/>
          <w:highlight w:val="none"/>
        </w:rPr>
        <w:t>市</w:t>
      </w:r>
      <w:r>
        <w:rPr>
          <w:rFonts w:hint="eastAsia" w:ascii="仿宋_GB2312" w:hAnsi="仿宋_GB2312" w:eastAsia="仿宋_GB2312" w:cs="仿宋_GB2312"/>
          <w:color w:val="auto"/>
          <w:kern w:val="0"/>
          <w:sz w:val="32"/>
          <w:szCs w:val="32"/>
          <w:highlight w:val="none"/>
          <w:lang w:eastAsia="zh-CN"/>
        </w:rPr>
        <w:t>（州）</w:t>
      </w:r>
      <w:r>
        <w:rPr>
          <w:rFonts w:hint="eastAsia" w:ascii="仿宋_GB2312" w:hAnsi="仿宋_GB2312" w:eastAsia="仿宋_GB2312" w:cs="仿宋_GB2312"/>
          <w:color w:val="auto"/>
          <w:kern w:val="0"/>
          <w:sz w:val="32"/>
          <w:szCs w:val="32"/>
          <w:highlight w:val="none"/>
        </w:rPr>
        <w:t>、县（市、区）</w:t>
      </w:r>
      <w:r>
        <w:rPr>
          <w:rFonts w:hint="eastAsia" w:ascii="仿宋_GB2312" w:hAnsi="仿宋_GB2312" w:eastAsia="仿宋_GB2312" w:cs="仿宋_GB2312"/>
          <w:color w:val="auto"/>
          <w:kern w:val="0"/>
          <w:sz w:val="32"/>
          <w:szCs w:val="32"/>
          <w:highlight w:val="none"/>
          <w:lang w:eastAsia="zh-CN"/>
        </w:rPr>
        <w:t>的</w:t>
      </w:r>
      <w:r>
        <w:rPr>
          <w:rFonts w:hint="eastAsia" w:ascii="仿宋_GB2312" w:hAnsi="仿宋_GB2312" w:eastAsia="仿宋_GB2312" w:cs="仿宋_GB2312"/>
          <w:color w:val="auto"/>
          <w:kern w:val="0"/>
          <w:sz w:val="32"/>
          <w:szCs w:val="32"/>
          <w:highlight w:val="none"/>
        </w:rPr>
        <w:t>城区加油站设置，服务半径不低于0.9公里，即与周边最近加油站的车行距离不低于1.8公里；</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b/>
          <w:bCs/>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u w:val="none"/>
          <w:lang w:eastAsia="zh-CN"/>
        </w:rPr>
        <w:t>（二）</w:t>
      </w:r>
      <w:r>
        <w:rPr>
          <w:rFonts w:hint="eastAsia" w:ascii="仿宋_GB2312" w:hAnsi="仿宋_GB2312" w:eastAsia="仿宋_GB2312" w:cs="仿宋_GB2312"/>
          <w:color w:val="auto"/>
          <w:kern w:val="0"/>
          <w:sz w:val="32"/>
          <w:szCs w:val="32"/>
          <w:highlight w:val="none"/>
          <w:lang w:eastAsia="zh-CN"/>
        </w:rPr>
        <w:t>高速公路服务区</w:t>
      </w:r>
      <w:r>
        <w:rPr>
          <w:rFonts w:hint="eastAsia" w:ascii="仿宋_GB2312" w:hAnsi="仿宋_GB2312" w:eastAsia="仿宋_GB2312" w:cs="仿宋_GB2312"/>
          <w:color w:val="auto"/>
          <w:kern w:val="0"/>
          <w:sz w:val="32"/>
          <w:szCs w:val="32"/>
          <w:highlight w:val="none"/>
        </w:rPr>
        <w:t>加油站设置</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sz w:val="32"/>
          <w:szCs w:val="32"/>
          <w:highlight w:val="none"/>
        </w:rPr>
        <w:t>应当在高速公路服务区内</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kern w:val="0"/>
          <w:sz w:val="32"/>
          <w:szCs w:val="32"/>
          <w:highlight w:val="none"/>
          <w:lang w:eastAsia="zh-CN"/>
        </w:rPr>
        <w:t>应符合市州成品油零售体系发展规划，每百公里不超过</w:t>
      </w:r>
      <w:r>
        <w:rPr>
          <w:rFonts w:hint="eastAsia" w:ascii="仿宋_GB2312" w:hAnsi="仿宋_GB2312" w:eastAsia="仿宋_GB2312" w:cs="仿宋_GB2312"/>
          <w:color w:val="auto"/>
          <w:kern w:val="0"/>
          <w:sz w:val="32"/>
          <w:szCs w:val="32"/>
          <w:highlight w:val="none"/>
          <w:lang w:val="en-US" w:eastAsia="zh-CN"/>
        </w:rPr>
        <w:t>2对</w:t>
      </w:r>
      <w:r>
        <w:rPr>
          <w:rFonts w:hint="eastAsia" w:ascii="仿宋_GB2312" w:hAnsi="仿宋_GB2312" w:eastAsia="仿宋_GB2312" w:cs="仿宋_GB2312"/>
          <w:color w:val="auto"/>
          <w:kern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eastAsia="zh-CN"/>
        </w:rPr>
        <w:t>（三）</w:t>
      </w:r>
      <w:r>
        <w:rPr>
          <w:rFonts w:hint="eastAsia" w:ascii="仿宋_GB2312" w:hAnsi="仿宋_GB2312" w:eastAsia="仿宋_GB2312" w:cs="仿宋_GB2312"/>
          <w:color w:val="auto"/>
          <w:kern w:val="0"/>
          <w:sz w:val="32"/>
          <w:szCs w:val="32"/>
          <w:highlight w:val="none"/>
        </w:rPr>
        <w:t>国道</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省道</w:t>
      </w:r>
      <w:r>
        <w:rPr>
          <w:rFonts w:hint="eastAsia" w:ascii="仿宋_GB2312" w:hAnsi="仿宋_GB2312" w:eastAsia="仿宋_GB2312" w:cs="仿宋_GB2312"/>
          <w:color w:val="auto"/>
          <w:kern w:val="0"/>
          <w:sz w:val="32"/>
          <w:szCs w:val="32"/>
          <w:highlight w:val="none"/>
          <w:lang w:val="en-US" w:eastAsia="zh-CN"/>
        </w:rPr>
        <w:t>、</w:t>
      </w:r>
      <w:r>
        <w:rPr>
          <w:rFonts w:hint="eastAsia" w:ascii="仿宋_GB2312" w:hAnsi="仿宋_GB2312" w:eastAsia="仿宋_GB2312" w:cs="仿宋_GB2312"/>
          <w:color w:val="auto"/>
          <w:kern w:val="0"/>
          <w:sz w:val="32"/>
          <w:szCs w:val="32"/>
          <w:highlight w:val="none"/>
          <w:lang w:eastAsia="zh-CN"/>
        </w:rPr>
        <w:t>县</w:t>
      </w:r>
      <w:r>
        <w:rPr>
          <w:rFonts w:hint="eastAsia" w:ascii="仿宋_GB2312" w:hAnsi="仿宋_GB2312" w:eastAsia="仿宋_GB2312" w:cs="仿宋_GB2312"/>
          <w:color w:val="auto"/>
          <w:kern w:val="0"/>
          <w:sz w:val="32"/>
          <w:szCs w:val="32"/>
          <w:highlight w:val="none"/>
        </w:rPr>
        <w:t>道</w:t>
      </w:r>
      <w:r>
        <w:rPr>
          <w:rFonts w:hint="eastAsia" w:ascii="仿宋_GB2312" w:hAnsi="仿宋_GB2312" w:eastAsia="仿宋_GB2312" w:cs="仿宋_GB2312"/>
          <w:color w:val="auto"/>
          <w:kern w:val="0"/>
          <w:sz w:val="32"/>
          <w:szCs w:val="32"/>
          <w:highlight w:val="none"/>
          <w:lang w:eastAsia="zh-CN"/>
        </w:rPr>
        <w:t>、乡</w:t>
      </w:r>
      <w:r>
        <w:rPr>
          <w:rFonts w:hint="eastAsia" w:ascii="仿宋_GB2312" w:hAnsi="仿宋_GB2312" w:eastAsia="仿宋_GB2312" w:cs="仿宋_GB2312"/>
          <w:color w:val="auto"/>
          <w:kern w:val="0"/>
          <w:sz w:val="32"/>
          <w:szCs w:val="32"/>
          <w:highlight w:val="none"/>
        </w:rPr>
        <w:t>道加油站设置，</w:t>
      </w:r>
      <w:r>
        <w:rPr>
          <w:rFonts w:hint="eastAsia" w:ascii="仿宋_GB2312" w:hAnsi="仿宋_GB2312" w:eastAsia="仿宋_GB2312" w:cs="仿宋_GB2312"/>
          <w:color w:val="auto"/>
          <w:kern w:val="0"/>
          <w:sz w:val="32"/>
          <w:szCs w:val="32"/>
          <w:highlight w:val="none"/>
          <w:lang w:eastAsia="zh-CN"/>
        </w:rPr>
        <w:t>应符合国土空间规划和市州成品油零售体系发展规划</w:t>
      </w:r>
      <w:r>
        <w:rPr>
          <w:rFonts w:hint="eastAsia" w:ascii="仿宋_GB2312" w:hAnsi="仿宋_GB2312" w:eastAsia="仿宋_GB2312" w:cs="仿宋_GB2312"/>
          <w:color w:val="auto"/>
          <w:kern w:val="0"/>
          <w:sz w:val="32"/>
          <w:szCs w:val="32"/>
          <w:highlight w:val="none"/>
          <w:lang w:val="en-US" w:eastAsia="zh-CN"/>
        </w:rPr>
        <w:t>，</w:t>
      </w:r>
      <w:r>
        <w:rPr>
          <w:rFonts w:hint="eastAsia" w:ascii="仿宋_GB2312" w:hAnsi="仿宋_GB2312" w:eastAsia="仿宋_GB2312" w:cs="仿宋_GB2312"/>
          <w:color w:val="auto"/>
          <w:kern w:val="0"/>
          <w:sz w:val="32"/>
          <w:szCs w:val="32"/>
          <w:highlight w:val="none"/>
        </w:rPr>
        <w:t>同侧两站间最短车行距离不低于15公里</w:t>
      </w:r>
      <w:r>
        <w:rPr>
          <w:rFonts w:hint="eastAsia" w:ascii="仿宋_GB2312" w:hAnsi="仿宋_GB2312" w:eastAsia="仿宋_GB2312" w:cs="仿宋_GB2312"/>
          <w:color w:val="auto"/>
          <w:kern w:val="0"/>
          <w:sz w:val="32"/>
          <w:szCs w:val="32"/>
          <w:highlight w:val="none"/>
          <w:lang w:eastAsia="zh-CN"/>
        </w:rPr>
        <w:t>，道路交叉（对侧）相邻加油站最短车行距离不低于</w:t>
      </w:r>
      <w:r>
        <w:rPr>
          <w:rFonts w:hint="eastAsia" w:ascii="仿宋_GB2312" w:hAnsi="仿宋_GB2312" w:eastAsia="仿宋_GB2312" w:cs="仿宋_GB2312"/>
          <w:color w:val="auto"/>
          <w:kern w:val="0"/>
          <w:sz w:val="32"/>
          <w:szCs w:val="32"/>
          <w:highlight w:val="none"/>
          <w:lang w:val="en-US" w:eastAsia="zh-CN"/>
        </w:rPr>
        <w:t>1.8公里。</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Times New Roman" w:hAnsi="Times New Roman" w:eastAsia="仿宋_GB2312" w:cs="Times New Roman"/>
          <w:color w:val="auto"/>
          <w:kern w:val="0"/>
          <w:sz w:val="32"/>
          <w:szCs w:val="32"/>
          <w:highlight w:val="none"/>
        </w:rPr>
      </w:pPr>
      <w:r>
        <w:rPr>
          <w:rFonts w:ascii="Times New Roman" w:hAnsi="Times New Roman" w:eastAsia="楷体_GB2312" w:cs="Times New Roman"/>
          <w:b/>
          <w:bCs/>
          <w:color w:val="auto"/>
          <w:kern w:val="0"/>
          <w:sz w:val="32"/>
          <w:szCs w:val="32"/>
          <w:highlight w:val="none"/>
          <w:lang w:val="en-US" w:eastAsia="zh-CN" w:bidi="ar-SA"/>
        </w:rPr>
        <w:t>第二十</w:t>
      </w:r>
      <w:r>
        <w:rPr>
          <w:rFonts w:hint="eastAsia" w:ascii="Times New Roman" w:hAnsi="Times New Roman" w:eastAsia="楷体_GB2312" w:cs="Times New Roman"/>
          <w:b/>
          <w:bCs/>
          <w:color w:val="auto"/>
          <w:kern w:val="0"/>
          <w:sz w:val="32"/>
          <w:szCs w:val="32"/>
          <w:highlight w:val="none"/>
          <w:lang w:val="en-US" w:eastAsia="zh-CN" w:bidi="ar-SA"/>
        </w:rPr>
        <w:t>九</w:t>
      </w:r>
      <w:r>
        <w:rPr>
          <w:rFonts w:ascii="Times New Roman" w:hAnsi="Times New Roman" w:eastAsia="楷体_GB2312" w:cs="Times New Roman"/>
          <w:b/>
          <w:bCs/>
          <w:color w:val="auto"/>
          <w:kern w:val="0"/>
          <w:sz w:val="32"/>
          <w:szCs w:val="32"/>
          <w:highlight w:val="none"/>
          <w:lang w:val="en-US" w:eastAsia="zh-CN" w:bidi="ar-SA"/>
        </w:rPr>
        <w:t>条</w:t>
      </w:r>
      <w:r>
        <w:rPr>
          <w:rFonts w:hint="eastAsia" w:ascii="Times New Roman" w:hAnsi="Times New Roman" w:eastAsia="楷体_GB2312" w:cs="Times New Roman"/>
          <w:b/>
          <w:bCs/>
          <w:color w:val="auto"/>
          <w:kern w:val="0"/>
          <w:sz w:val="32"/>
          <w:szCs w:val="32"/>
          <w:highlight w:val="none"/>
          <w:lang w:val="en-US" w:eastAsia="zh-CN" w:bidi="ar-SA"/>
        </w:rPr>
        <w:t xml:space="preserve">【成品油经营企业日常监督检查管理】 </w:t>
      </w:r>
      <w:r>
        <w:rPr>
          <w:rFonts w:hint="eastAsia" w:ascii="Times New Roman" w:hAnsi="Times New Roman" w:eastAsia="仿宋_GB2312" w:cs="Times New Roman"/>
          <w:color w:val="auto"/>
          <w:kern w:val="0"/>
          <w:sz w:val="32"/>
          <w:szCs w:val="32"/>
          <w:highlight w:val="none"/>
          <w:lang w:val="en-US" w:eastAsia="zh-CN"/>
        </w:rPr>
        <w:t>省商务厅、各市级</w:t>
      </w:r>
      <w:r>
        <w:rPr>
          <w:rFonts w:hint="eastAsia" w:ascii="Times New Roman" w:hAnsi="Times New Roman" w:eastAsia="仿宋_GB2312" w:cs="Times New Roman"/>
          <w:color w:val="auto"/>
          <w:kern w:val="0"/>
          <w:sz w:val="32"/>
          <w:szCs w:val="32"/>
          <w:highlight w:val="none"/>
        </w:rPr>
        <w:t>商务部门应当按照本</w:t>
      </w:r>
      <w:r>
        <w:rPr>
          <w:rFonts w:hint="eastAsia" w:ascii="Times New Roman" w:hAnsi="Times New Roman" w:eastAsia="仿宋_GB2312" w:cs="Times New Roman"/>
          <w:color w:val="auto"/>
          <w:kern w:val="0"/>
          <w:sz w:val="32"/>
          <w:szCs w:val="32"/>
          <w:highlight w:val="none"/>
          <w:lang w:eastAsia="zh-CN"/>
        </w:rPr>
        <w:t>细则</w:t>
      </w:r>
      <w:r>
        <w:rPr>
          <w:rFonts w:hint="eastAsia" w:ascii="Times New Roman" w:hAnsi="Times New Roman" w:eastAsia="仿宋_GB2312" w:cs="Times New Roman"/>
          <w:color w:val="auto"/>
          <w:kern w:val="0"/>
          <w:sz w:val="32"/>
          <w:szCs w:val="32"/>
          <w:highlight w:val="none"/>
        </w:rPr>
        <w:t>对本行政区域内成品油经营企业进行监督检查。对检查中发现违反本</w:t>
      </w:r>
      <w:r>
        <w:rPr>
          <w:rFonts w:hint="eastAsia" w:ascii="Times New Roman" w:hAnsi="Times New Roman" w:eastAsia="仿宋_GB2312" w:cs="Times New Roman"/>
          <w:color w:val="auto"/>
          <w:kern w:val="0"/>
          <w:sz w:val="32"/>
          <w:szCs w:val="32"/>
          <w:highlight w:val="none"/>
          <w:lang w:eastAsia="zh-CN"/>
        </w:rPr>
        <w:t>细则</w:t>
      </w:r>
      <w:r>
        <w:rPr>
          <w:rFonts w:hint="eastAsia" w:ascii="Times New Roman" w:hAnsi="Times New Roman" w:eastAsia="仿宋_GB2312" w:cs="Times New Roman"/>
          <w:color w:val="auto"/>
          <w:kern w:val="0"/>
          <w:sz w:val="32"/>
          <w:szCs w:val="32"/>
          <w:highlight w:val="none"/>
        </w:rPr>
        <w:t>规定的及时查处，并将查处情况向社会公开；对检查中发现涉及其他部门监管职责的，应当通报同级相关部门予以查处。监督检查可以采取下列措施：</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（一）实施现场检查、非现场检查；</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（二）就监督检查事项询问有关单位和个人；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（三）查阅、复制与监督检查事项有关的文件、资料、电子数据；</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（四）依据国家有关规定采取的其他措施。</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Times New Roman" w:hAnsi="Times New Roman" w:eastAsia="仿宋_GB2312" w:cs="Times New Roman"/>
          <w:color w:val="auto"/>
          <w:kern w:val="0"/>
          <w:sz w:val="32"/>
          <w:szCs w:val="32"/>
          <w:highlight w:val="none"/>
        </w:rPr>
      </w:pPr>
      <w:r>
        <w:rPr>
          <w:rFonts w:ascii="Times New Roman" w:hAnsi="Times New Roman" w:eastAsia="楷体_GB2312" w:cs="Times New Roman"/>
          <w:b/>
          <w:bCs/>
          <w:color w:val="auto"/>
          <w:kern w:val="0"/>
          <w:sz w:val="32"/>
          <w:szCs w:val="32"/>
          <w:highlight w:val="none"/>
          <w:lang w:val="en-US" w:eastAsia="zh-CN" w:bidi="ar-SA"/>
        </w:rPr>
        <w:t>第</w:t>
      </w:r>
      <w:r>
        <w:rPr>
          <w:rFonts w:hint="eastAsia" w:ascii="Times New Roman" w:hAnsi="Times New Roman" w:eastAsia="楷体_GB2312" w:cs="Times New Roman"/>
          <w:b/>
          <w:bCs/>
          <w:color w:val="auto"/>
          <w:kern w:val="0"/>
          <w:sz w:val="32"/>
          <w:szCs w:val="32"/>
          <w:highlight w:val="none"/>
          <w:lang w:val="en-US" w:eastAsia="zh-CN" w:bidi="ar-SA"/>
        </w:rPr>
        <w:t>三十</w:t>
      </w:r>
      <w:r>
        <w:rPr>
          <w:rFonts w:ascii="Times New Roman" w:hAnsi="Times New Roman" w:eastAsia="楷体_GB2312" w:cs="Times New Roman"/>
          <w:b/>
          <w:bCs/>
          <w:color w:val="auto"/>
          <w:kern w:val="0"/>
          <w:sz w:val="32"/>
          <w:szCs w:val="32"/>
          <w:highlight w:val="none"/>
          <w:lang w:val="en-US" w:eastAsia="zh-CN" w:bidi="ar-SA"/>
        </w:rPr>
        <w:t>条</w:t>
      </w:r>
      <w:r>
        <w:rPr>
          <w:rFonts w:hint="eastAsia" w:ascii="Times New Roman" w:hAnsi="Times New Roman" w:eastAsia="楷体_GB2312" w:cs="Times New Roman"/>
          <w:b/>
          <w:bCs/>
          <w:color w:val="auto"/>
          <w:kern w:val="0"/>
          <w:sz w:val="32"/>
          <w:szCs w:val="32"/>
          <w:highlight w:val="none"/>
          <w:lang w:val="en-US" w:eastAsia="zh-CN" w:bidi="ar-SA"/>
        </w:rPr>
        <w:t xml:space="preserve">【成品油经营企业年度检查管理】 </w:t>
      </w:r>
      <w:r>
        <w:rPr>
          <w:rFonts w:hint="eastAsia" w:ascii="Times New Roman" w:hAnsi="Times New Roman" w:eastAsia="仿宋_GB2312" w:cs="Times New Roman"/>
          <w:color w:val="auto"/>
          <w:kern w:val="0"/>
          <w:sz w:val="32"/>
          <w:szCs w:val="32"/>
          <w:highlight w:val="none"/>
          <w:lang w:val="en-US" w:eastAsia="zh-CN"/>
        </w:rPr>
        <w:t>各市级</w:t>
      </w:r>
      <w:r>
        <w:rPr>
          <w:rFonts w:hint="eastAsia" w:ascii="Times New Roman" w:hAnsi="Times New Roman" w:eastAsia="仿宋_GB2312" w:cs="Times New Roman"/>
          <w:color w:val="auto"/>
          <w:kern w:val="0"/>
          <w:sz w:val="32"/>
          <w:szCs w:val="32"/>
          <w:highlight w:val="none"/>
        </w:rPr>
        <w:t>商务部门应当组织对本行政区域内成品油零售经营企业进行年度检查，</w:t>
      </w:r>
      <w:r>
        <w:rPr>
          <w:rFonts w:hint="eastAsia" w:ascii="Times New Roman" w:hAnsi="Times New Roman" w:eastAsia="仿宋_GB2312" w:cs="Times New Roman"/>
          <w:color w:val="auto"/>
          <w:kern w:val="0"/>
          <w:sz w:val="32"/>
          <w:szCs w:val="32"/>
          <w:highlight w:val="none"/>
          <w:lang w:val="en-US" w:eastAsia="zh-CN"/>
        </w:rPr>
        <w:t>指导企业填报《成品油零售经营企业年度检查登记表》（详见附表5），</w:t>
      </w:r>
      <w:r>
        <w:rPr>
          <w:rFonts w:hint="eastAsia" w:ascii="Times New Roman" w:hAnsi="Times New Roman" w:eastAsia="仿宋_GB2312" w:cs="Times New Roman"/>
          <w:color w:val="auto"/>
          <w:kern w:val="0"/>
          <w:sz w:val="32"/>
          <w:szCs w:val="32"/>
          <w:highlight w:val="none"/>
        </w:rPr>
        <w:t>将检查情况报</w:t>
      </w:r>
      <w:r>
        <w:rPr>
          <w:rFonts w:hint="eastAsia" w:ascii="Times New Roman" w:hAnsi="Times New Roman" w:eastAsia="仿宋_GB2312" w:cs="Times New Roman"/>
          <w:color w:val="auto"/>
          <w:kern w:val="0"/>
          <w:sz w:val="32"/>
          <w:szCs w:val="32"/>
          <w:highlight w:val="none"/>
          <w:lang w:eastAsia="zh-CN"/>
        </w:rPr>
        <w:t>省商务厅</w:t>
      </w:r>
      <w:r>
        <w:rPr>
          <w:rFonts w:hint="eastAsia" w:ascii="Times New Roman" w:hAnsi="Times New Roman" w:eastAsia="仿宋_GB2312" w:cs="Times New Roman"/>
          <w:color w:val="auto"/>
          <w:kern w:val="0"/>
          <w:sz w:val="32"/>
          <w:szCs w:val="32"/>
          <w:highlight w:val="none"/>
        </w:rPr>
        <w:t>。对不配合检查或检查不合格的成品油零售经营企业，应当下达整改通知书，责令其限期整改。成品油零售经营企业应当配合年度检查，按要求提交有关材料，包括：</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（一）企业基础信息；</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（二）企业相关证照情况；</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（三）企业经营设施情况；</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（四）企业相关管理制度建立和执行情况；</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（五）企业上年度经营状况、购销存和出入库台账；</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lang w:eastAsia="zh-CN"/>
        </w:rPr>
      </w:pPr>
      <w:r>
        <w:rPr>
          <w:rFonts w:hint="eastAsia" w:ascii="Times New Roman" w:hAnsi="Times New Roman" w:eastAsia="仿宋_GB2312" w:cs="Times New Roman"/>
          <w:color w:val="auto"/>
          <w:kern w:val="0"/>
          <w:sz w:val="32"/>
          <w:szCs w:val="32"/>
          <w:highlight w:val="none"/>
        </w:rPr>
        <w:t>（六）主管部门认为应当提交的其他相关材料</w:t>
      </w:r>
      <w:r>
        <w:rPr>
          <w:rFonts w:hint="eastAsia" w:ascii="Times New Roman" w:hAnsi="Times New Roman" w:eastAsia="仿宋_GB2312" w:cs="Times New Roman"/>
          <w:color w:val="auto"/>
          <w:kern w:val="0"/>
          <w:sz w:val="32"/>
          <w:szCs w:val="32"/>
          <w:highlight w:val="none"/>
          <w:lang w:eastAsia="zh-CN"/>
        </w:rPr>
        <w:t>。</w:t>
      </w:r>
    </w:p>
    <w:p>
      <w:pPr>
        <w:keepNext w:val="0"/>
        <w:keepLines w:val="0"/>
        <w:pageBreakBefore w:val="0"/>
        <w:widowControl w:val="0"/>
        <w:kinsoku/>
        <w:wordWrap/>
        <w:overflowPunct/>
        <w:topLinePunct w:val="0"/>
        <w:bidi w:val="0"/>
        <w:snapToGrid/>
        <w:spacing w:line="560" w:lineRule="exact"/>
        <w:ind w:firstLine="643" w:firstLineChars="200"/>
        <w:textAlignment w:val="auto"/>
        <w:rPr>
          <w:rFonts w:hint="eastAsia" w:ascii="Times New Roman" w:hAnsi="Times New Roman" w:eastAsia="仿宋_GB2312" w:cs="Times New Roman"/>
          <w:color w:val="auto"/>
          <w:kern w:val="0"/>
          <w:sz w:val="32"/>
          <w:szCs w:val="32"/>
          <w:highlight w:val="none"/>
        </w:rPr>
      </w:pPr>
      <w:r>
        <w:rPr>
          <w:rFonts w:ascii="Times New Roman" w:hAnsi="Times New Roman" w:eastAsia="楷体_GB2312" w:cs="Times New Roman"/>
          <w:b/>
          <w:bCs/>
          <w:color w:val="auto"/>
          <w:kern w:val="0"/>
          <w:sz w:val="32"/>
          <w:szCs w:val="32"/>
          <w:highlight w:val="none"/>
          <w:lang w:val="en-US" w:eastAsia="zh-CN" w:bidi="ar-SA"/>
        </w:rPr>
        <w:t>第</w:t>
      </w:r>
      <w:r>
        <w:rPr>
          <w:rFonts w:hint="eastAsia" w:ascii="Times New Roman" w:hAnsi="Times New Roman" w:eastAsia="楷体_GB2312" w:cs="Times New Roman"/>
          <w:b/>
          <w:bCs/>
          <w:color w:val="auto"/>
          <w:kern w:val="0"/>
          <w:sz w:val="32"/>
          <w:szCs w:val="32"/>
          <w:highlight w:val="none"/>
          <w:lang w:val="en-US" w:eastAsia="zh-CN" w:bidi="ar-SA"/>
        </w:rPr>
        <w:t>三十一</w:t>
      </w:r>
      <w:r>
        <w:rPr>
          <w:rFonts w:ascii="Times New Roman" w:hAnsi="Times New Roman" w:eastAsia="楷体_GB2312" w:cs="Times New Roman"/>
          <w:b/>
          <w:bCs/>
          <w:color w:val="auto"/>
          <w:kern w:val="0"/>
          <w:sz w:val="32"/>
          <w:szCs w:val="32"/>
          <w:highlight w:val="none"/>
          <w:lang w:val="en-US" w:eastAsia="zh-CN" w:bidi="ar-SA"/>
        </w:rPr>
        <w:t>条</w:t>
      </w:r>
      <w:r>
        <w:rPr>
          <w:rFonts w:hint="eastAsia" w:ascii="Times New Roman" w:hAnsi="Times New Roman" w:eastAsia="楷体_GB2312" w:cs="Times New Roman"/>
          <w:b/>
          <w:bCs/>
          <w:color w:val="auto"/>
          <w:kern w:val="0"/>
          <w:sz w:val="32"/>
          <w:szCs w:val="32"/>
          <w:highlight w:val="none"/>
          <w:lang w:val="en-US" w:eastAsia="zh-CN" w:bidi="ar-SA"/>
        </w:rPr>
        <w:t xml:space="preserve">【成品油经营企业数据管理】 </w:t>
      </w:r>
      <w:r>
        <w:rPr>
          <w:rFonts w:hint="eastAsia" w:ascii="Times New Roman" w:hAnsi="Times New Roman" w:eastAsia="仿宋_GB2312" w:cs="Times New Roman"/>
          <w:color w:val="auto"/>
          <w:kern w:val="0"/>
          <w:sz w:val="32"/>
          <w:szCs w:val="32"/>
          <w:highlight w:val="none"/>
          <w:lang w:val="en-US" w:eastAsia="zh-CN"/>
        </w:rPr>
        <w:t>省商务厅、各市级</w:t>
      </w:r>
      <w:r>
        <w:rPr>
          <w:rFonts w:hint="eastAsia" w:ascii="Times New Roman" w:hAnsi="Times New Roman" w:eastAsia="仿宋_GB2312" w:cs="Times New Roman"/>
          <w:color w:val="auto"/>
          <w:kern w:val="0"/>
          <w:sz w:val="32"/>
          <w:szCs w:val="32"/>
          <w:highlight w:val="none"/>
        </w:rPr>
        <w:t>商务部门应当依职责会同相关部门加强本行政区域内成品油经营企业基本信息和经营数据归集，加强部门间产业链上下游数据交互共享和协同应用。</w:t>
      </w:r>
      <w:r>
        <w:rPr>
          <w:rFonts w:hint="eastAsia" w:ascii="Times New Roman" w:hAnsi="Times New Roman" w:eastAsia="仿宋_GB2312" w:cs="Times New Roman"/>
          <w:color w:val="auto"/>
          <w:kern w:val="0"/>
          <w:sz w:val="32"/>
          <w:szCs w:val="32"/>
          <w:highlight w:val="none"/>
          <w:lang w:eastAsia="zh-CN"/>
        </w:rPr>
        <w:t>省商务厅统筹搭建全省成品油统一监管平台（含各市州系统），</w:t>
      </w:r>
      <w:r>
        <w:rPr>
          <w:rFonts w:hint="eastAsia" w:ascii="Times New Roman" w:hAnsi="Times New Roman" w:eastAsia="仿宋_GB2312" w:cs="Times New Roman"/>
          <w:color w:val="auto"/>
          <w:kern w:val="0"/>
          <w:sz w:val="32"/>
          <w:szCs w:val="32"/>
          <w:highlight w:val="none"/>
        </w:rPr>
        <w:t>加快构建涵盖批发、仓储、零售等环节的动态监管体系，提升成品油流通领域数智化监管效能和服务水平。</w:t>
      </w:r>
      <w:r>
        <w:rPr>
          <w:rFonts w:hint="eastAsia" w:ascii="Times New Roman" w:hAnsi="Times New Roman" w:eastAsia="仿宋_GB2312"/>
          <w:color w:val="auto"/>
          <w:kern w:val="0"/>
          <w:sz w:val="32"/>
          <w:szCs w:val="32"/>
          <w:highlight w:val="none"/>
          <w:lang w:eastAsia="zh-CN"/>
        </w:rPr>
        <w:t>同时，智慧监管系统纳入各零售网点资格准入和年审环节，推动零售网点可视化、数字化、便捷化监管。</w:t>
      </w:r>
    </w:p>
    <w:p>
      <w:pPr>
        <w:keepNext w:val="0"/>
        <w:keepLines w:val="0"/>
        <w:pageBreakBefore w:val="0"/>
        <w:widowControl/>
        <w:suppressLineNumbers w:val="0"/>
        <w:kinsoku/>
        <w:topLinePunct w:val="0"/>
        <w:bidi w:val="0"/>
        <w:snapToGrid/>
        <w:spacing w:line="560" w:lineRule="exact"/>
        <w:ind w:firstLine="643" w:firstLineChars="200"/>
        <w:jc w:val="left"/>
        <w:textAlignment w:val="auto"/>
        <w:rPr>
          <w:rFonts w:hint="eastAsia" w:ascii="Times New Roman" w:hAnsi="Times New Roman" w:eastAsia="仿宋_GB2312" w:cs="Times New Roman"/>
          <w:bCs w:val="0"/>
          <w:color w:val="auto"/>
          <w:kern w:val="0"/>
          <w:sz w:val="32"/>
          <w:szCs w:val="32"/>
          <w:highlight w:val="none"/>
          <w:lang w:val="en-US" w:eastAsia="zh-CN" w:bidi="ar-SA"/>
        </w:rPr>
      </w:pPr>
      <w:r>
        <w:rPr>
          <w:rFonts w:ascii="Times New Roman" w:hAnsi="Times New Roman" w:eastAsia="楷体_GB2312" w:cs="Times New Roman"/>
          <w:b/>
          <w:bCs/>
          <w:color w:val="auto"/>
          <w:kern w:val="0"/>
          <w:sz w:val="32"/>
          <w:szCs w:val="32"/>
          <w:highlight w:val="none"/>
          <w:lang w:val="en-US" w:eastAsia="zh-CN" w:bidi="ar-SA"/>
        </w:rPr>
        <w:t>第</w:t>
      </w:r>
      <w:r>
        <w:rPr>
          <w:rFonts w:hint="eastAsia" w:ascii="Times New Roman" w:hAnsi="Times New Roman" w:eastAsia="楷体_GB2312" w:cs="Times New Roman"/>
          <w:b/>
          <w:bCs/>
          <w:color w:val="auto"/>
          <w:kern w:val="0"/>
          <w:sz w:val="32"/>
          <w:szCs w:val="32"/>
          <w:highlight w:val="none"/>
          <w:lang w:val="en-US" w:eastAsia="zh-CN" w:bidi="ar-SA"/>
        </w:rPr>
        <w:t>三十二</w:t>
      </w:r>
      <w:r>
        <w:rPr>
          <w:rFonts w:ascii="Times New Roman" w:hAnsi="Times New Roman" w:eastAsia="楷体_GB2312" w:cs="Times New Roman"/>
          <w:b/>
          <w:bCs/>
          <w:color w:val="auto"/>
          <w:kern w:val="0"/>
          <w:sz w:val="32"/>
          <w:szCs w:val="32"/>
          <w:highlight w:val="none"/>
          <w:lang w:val="en-US" w:eastAsia="zh-CN" w:bidi="ar-SA"/>
        </w:rPr>
        <w:t>条</w:t>
      </w:r>
      <w:r>
        <w:rPr>
          <w:rFonts w:hint="eastAsia" w:ascii="Times New Roman" w:hAnsi="Times New Roman" w:eastAsia="楷体_GB2312" w:cs="Times New Roman"/>
          <w:b/>
          <w:bCs/>
          <w:color w:val="auto"/>
          <w:kern w:val="0"/>
          <w:sz w:val="32"/>
          <w:szCs w:val="32"/>
          <w:highlight w:val="none"/>
          <w:lang w:val="en-US" w:eastAsia="zh-CN" w:bidi="ar-SA"/>
        </w:rPr>
        <w:t xml:space="preserve">【成品油经营企业信用管理】 </w:t>
      </w:r>
      <w:r>
        <w:rPr>
          <w:rFonts w:hint="eastAsia" w:ascii="Times New Roman" w:hAnsi="Times New Roman" w:eastAsia="仿宋_GB2312" w:cs="Times New Roman"/>
          <w:bCs w:val="0"/>
          <w:color w:val="auto"/>
          <w:kern w:val="0"/>
          <w:sz w:val="32"/>
          <w:szCs w:val="32"/>
          <w:highlight w:val="none"/>
          <w:lang w:val="en-US" w:eastAsia="zh-CN" w:bidi="ar-SA"/>
        </w:rPr>
        <w:t>省商务厅、各市级商务部门应当会同有关部门对成品油经营企业实施信用分级分类管理，根据企业诚信经营、规范管理、依法纳税、服务质量、履行社会责任和日常监管等情况，对本行政区域内成品油经营企业划分信用状况等级，依法实施差异化监管。各市级商务部门部门结合企业日常检查与年度检查情况，对运营管理规范、设备设施齐全、经营状况及信用良好的成品油经营企业相关信息进行公示。</w:t>
      </w:r>
    </w:p>
    <w:p>
      <w:pPr>
        <w:keepNext w:val="0"/>
        <w:keepLines w:val="0"/>
        <w:pageBreakBefore w:val="0"/>
        <w:widowControl/>
        <w:suppressLineNumbers w:val="0"/>
        <w:kinsoku/>
        <w:topLinePunct w:val="0"/>
        <w:bidi w:val="0"/>
        <w:snapToGrid/>
        <w:spacing w:line="560" w:lineRule="exact"/>
        <w:ind w:firstLine="643" w:firstLineChars="200"/>
        <w:jc w:val="left"/>
        <w:textAlignment w:val="auto"/>
        <w:rPr>
          <w:rFonts w:hint="eastAsia" w:ascii="仿宋_GB2312" w:hAnsi="仿宋_GB2312" w:eastAsia="仿宋_GB2312" w:cs="仿宋_GB2312"/>
          <w:bCs w:val="0"/>
          <w:color w:val="auto"/>
          <w:kern w:val="0"/>
          <w:sz w:val="32"/>
          <w:szCs w:val="32"/>
          <w:highlight w:val="none"/>
          <w:lang w:val="en-US" w:eastAsia="zh-CN" w:bidi="ar-SA"/>
        </w:rPr>
      </w:pPr>
      <w:r>
        <w:rPr>
          <w:rFonts w:hint="eastAsia" w:ascii="Times New Roman" w:hAnsi="Times New Roman" w:eastAsia="楷体_GB2312" w:cs="Times New Roman"/>
          <w:b/>
          <w:bCs/>
          <w:color w:val="auto"/>
          <w:kern w:val="0"/>
          <w:sz w:val="32"/>
          <w:szCs w:val="32"/>
          <w:highlight w:val="none"/>
          <w:lang w:val="en-US" w:eastAsia="zh-CN" w:bidi="ar-SA"/>
        </w:rPr>
        <w:t xml:space="preserve">第三十三条【替代燃料管理】 </w:t>
      </w:r>
      <w:r>
        <w:rPr>
          <w:rFonts w:hint="default" w:ascii="Times New Roman" w:hAnsi="Times New Roman" w:eastAsia="仿宋_GB2312" w:cs="Times New Roman"/>
          <w:bCs w:val="0"/>
          <w:color w:val="auto"/>
          <w:kern w:val="0"/>
          <w:sz w:val="32"/>
          <w:szCs w:val="32"/>
          <w:highlight w:val="none"/>
          <w:lang w:val="en-US" w:eastAsia="zh-CN" w:bidi="ar-SA"/>
        </w:rPr>
        <w:t>乙醇汽油、生物柴油等车用替代燃料具有国家强制标准的，应符合其质量标准。车用替代燃料尚无国家强制标准的，用作汽油发动机燃料的车用替</w:t>
      </w:r>
      <w:r>
        <w:rPr>
          <w:rFonts w:hint="eastAsia" w:ascii="仿宋_GB2312" w:hAnsi="仿宋_GB2312" w:eastAsia="仿宋_GB2312" w:cs="仿宋_GB2312"/>
          <w:bCs w:val="0"/>
          <w:color w:val="auto"/>
          <w:kern w:val="0"/>
          <w:sz w:val="32"/>
          <w:szCs w:val="32"/>
          <w:highlight w:val="none"/>
          <w:lang w:val="en-US" w:eastAsia="zh-CN" w:bidi="ar-SA"/>
        </w:rPr>
        <w:t>代燃料应符合车用汽油国家强制标准要求，用作柴油发动机燃料的车用替代燃料应符合车用柴油国家强制标准要求。</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加强对替代燃料抽查检验，强化对不合格车用燃料溯源倒查</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bCs w:val="0"/>
          <w:color w:val="auto"/>
          <w:kern w:val="0"/>
          <w:sz w:val="32"/>
          <w:szCs w:val="32"/>
          <w:highlight w:val="none"/>
          <w:lang w:val="en-US" w:eastAsia="zh-CN" w:bidi="ar-SA"/>
        </w:rPr>
        <w:t>车用替代燃料的零售网点建设设置应符合当地成品油零售体系发展规划及相关法律法规规定，并按本细则规定纳入成品油零售经营许可管理。</w:t>
      </w:r>
    </w:p>
    <w:p>
      <w:pPr>
        <w:pageBreakBefore w:val="0"/>
        <w:kinsoku/>
        <w:topLinePunct w:val="0"/>
        <w:bidi w:val="0"/>
        <w:snapToGrid/>
        <w:spacing w:line="560" w:lineRule="exact"/>
        <w:ind w:firstLine="643" w:firstLineChars="200"/>
        <w:textAlignment w:val="auto"/>
        <w:rPr>
          <w:rFonts w:hint="eastAsia" w:ascii="Times New Roman" w:hAnsi="Times New Roman" w:eastAsia="仿宋_GB2312" w:cs="Times New Roman"/>
          <w:color w:val="auto"/>
          <w:kern w:val="0"/>
          <w:sz w:val="32"/>
          <w:szCs w:val="32"/>
          <w:highlight w:val="none"/>
          <w:lang w:val="en-US" w:eastAsia="zh-CN"/>
        </w:rPr>
      </w:pPr>
      <w:r>
        <w:rPr>
          <w:rFonts w:ascii="Times New Roman" w:hAnsi="Times New Roman" w:eastAsia="楷体_GB2312" w:cs="Times New Roman"/>
          <w:b/>
          <w:bCs/>
          <w:color w:val="auto"/>
          <w:kern w:val="0"/>
          <w:sz w:val="32"/>
          <w:szCs w:val="32"/>
          <w:highlight w:val="none"/>
          <w:lang w:val="en-US" w:eastAsia="zh-CN" w:bidi="ar-SA"/>
        </w:rPr>
        <w:t>第</w:t>
      </w:r>
      <w:r>
        <w:rPr>
          <w:rFonts w:hint="eastAsia" w:ascii="Times New Roman" w:hAnsi="Times New Roman" w:eastAsia="楷体_GB2312" w:cs="Times New Roman"/>
          <w:b/>
          <w:bCs/>
          <w:color w:val="auto"/>
          <w:kern w:val="0"/>
          <w:sz w:val="32"/>
          <w:szCs w:val="32"/>
          <w:highlight w:val="none"/>
          <w:lang w:val="en-US" w:eastAsia="zh-CN" w:bidi="ar-SA"/>
        </w:rPr>
        <w:t>三十四</w:t>
      </w:r>
      <w:r>
        <w:rPr>
          <w:rFonts w:ascii="Times New Roman" w:hAnsi="Times New Roman" w:eastAsia="楷体_GB2312" w:cs="Times New Roman"/>
          <w:b/>
          <w:bCs/>
          <w:color w:val="auto"/>
          <w:kern w:val="0"/>
          <w:sz w:val="32"/>
          <w:szCs w:val="32"/>
          <w:highlight w:val="none"/>
          <w:lang w:val="en-US" w:eastAsia="zh-CN" w:bidi="ar-SA"/>
        </w:rPr>
        <w:t>条</w:t>
      </w:r>
      <w:r>
        <w:rPr>
          <w:rFonts w:hint="eastAsia" w:ascii="Times New Roman" w:hAnsi="Times New Roman" w:eastAsia="楷体_GB2312" w:cs="Times New Roman"/>
          <w:b/>
          <w:bCs/>
          <w:color w:val="auto"/>
          <w:kern w:val="0"/>
          <w:sz w:val="32"/>
          <w:szCs w:val="32"/>
          <w:highlight w:val="none"/>
          <w:lang w:val="en-US" w:eastAsia="zh-CN" w:bidi="ar-SA"/>
        </w:rPr>
        <w:t xml:space="preserve">【保密管理】 </w:t>
      </w:r>
      <w:r>
        <w:rPr>
          <w:rFonts w:hint="eastAsia" w:ascii="Times New Roman" w:hAnsi="Times New Roman" w:eastAsia="仿宋_GB2312" w:cs="Times New Roman"/>
          <w:color w:val="auto"/>
          <w:kern w:val="0"/>
          <w:sz w:val="32"/>
          <w:szCs w:val="32"/>
          <w:highlight w:val="none"/>
          <w:lang w:val="en-US" w:eastAsia="zh-CN"/>
        </w:rPr>
        <w:t>有关部门和单位对成品油流通管理工作中知悉的国家秘密、商业秘密和个人隐私依法负有保密义务。</w:t>
      </w:r>
    </w:p>
    <w:p>
      <w:pPr>
        <w:pageBreakBefore w:val="0"/>
        <w:kinsoku/>
        <w:topLinePunct w:val="0"/>
        <w:bidi w:val="0"/>
        <w:snapToGrid/>
        <w:spacing w:line="560" w:lineRule="exact"/>
        <w:jc w:val="center"/>
        <w:textAlignment w:val="auto"/>
        <w:rPr>
          <w:rFonts w:hint="eastAsia" w:ascii="Times New Roman" w:hAnsi="Times New Roman" w:eastAsia="黑体" w:cs="Times New Roman"/>
          <w:color w:val="auto"/>
          <w:kern w:val="0"/>
          <w:sz w:val="32"/>
          <w:szCs w:val="32"/>
          <w:highlight w:val="none"/>
        </w:rPr>
      </w:pPr>
    </w:p>
    <w:p>
      <w:pPr>
        <w:pageBreakBefore w:val="0"/>
        <w:kinsoku/>
        <w:topLinePunct w:val="0"/>
        <w:bidi w:val="0"/>
        <w:snapToGrid/>
        <w:spacing w:line="560" w:lineRule="exact"/>
        <w:jc w:val="center"/>
        <w:textAlignment w:val="auto"/>
        <w:rPr>
          <w:rFonts w:hint="eastAsia"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第五章</w:t>
      </w:r>
      <w:r>
        <w:rPr>
          <w:rFonts w:hint="eastAsia" w:ascii="Times New Roman" w:hAnsi="Times New Roman" w:eastAsia="黑体" w:cs="Times New Roman"/>
          <w:color w:val="auto"/>
          <w:kern w:val="0"/>
          <w:sz w:val="32"/>
          <w:szCs w:val="32"/>
          <w:highlight w:val="none"/>
          <w:lang w:val="en-US" w:eastAsia="zh-CN"/>
        </w:rPr>
        <w:t xml:space="preserve"> </w:t>
      </w:r>
      <w:r>
        <w:rPr>
          <w:rFonts w:hint="eastAsia" w:ascii="Times New Roman" w:hAnsi="Times New Roman" w:eastAsia="黑体" w:cs="Times New Roman"/>
          <w:color w:val="auto"/>
          <w:kern w:val="0"/>
          <w:sz w:val="32"/>
          <w:szCs w:val="32"/>
          <w:highlight w:val="none"/>
        </w:rPr>
        <w:t>法律责任</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方正楷体_GB2312" w:hAnsi="方正楷体_GB2312" w:eastAsia="方正楷体_GB2312" w:cs="方正楷体_GB2312"/>
          <w:b/>
          <w:bCs/>
          <w:i w:val="0"/>
          <w:iCs w:val="0"/>
          <w:caps w:val="0"/>
          <w:color w:val="auto"/>
          <w:spacing w:val="0"/>
          <w:sz w:val="32"/>
          <w:szCs w:val="32"/>
          <w:highlight w:val="none"/>
        </w:rPr>
        <w:t>第三十</w:t>
      </w:r>
      <w:r>
        <w:rPr>
          <w:rFonts w:hint="eastAsia" w:ascii="方正楷体_GB2312" w:hAnsi="方正楷体_GB2312" w:eastAsia="方正楷体_GB2312" w:cs="方正楷体_GB2312"/>
          <w:b/>
          <w:bCs/>
          <w:i w:val="0"/>
          <w:iCs w:val="0"/>
          <w:caps w:val="0"/>
          <w:color w:val="auto"/>
          <w:spacing w:val="0"/>
          <w:sz w:val="32"/>
          <w:szCs w:val="32"/>
          <w:highlight w:val="none"/>
          <w:lang w:eastAsia="zh-CN"/>
        </w:rPr>
        <w:t>五</w:t>
      </w:r>
      <w:r>
        <w:rPr>
          <w:rFonts w:hint="eastAsia" w:ascii="方正楷体_GB2312" w:hAnsi="方正楷体_GB2312" w:eastAsia="方正楷体_GB2312" w:cs="方正楷体_GB2312"/>
          <w:b/>
          <w:bCs/>
          <w:i w:val="0"/>
          <w:iCs w:val="0"/>
          <w:caps w:val="0"/>
          <w:color w:val="auto"/>
          <w:spacing w:val="0"/>
          <w:sz w:val="32"/>
          <w:szCs w:val="32"/>
          <w:highlight w:val="none"/>
        </w:rPr>
        <w:t>条</w:t>
      </w:r>
      <w:r>
        <w:rPr>
          <w:rFonts w:hint="eastAsia" w:ascii="Times New Roman" w:hAnsi="Times New Roman" w:eastAsia="楷体_GB2312" w:cs="Times New Roman"/>
          <w:b/>
          <w:bCs/>
          <w:color w:val="auto"/>
          <w:kern w:val="0"/>
          <w:sz w:val="32"/>
          <w:szCs w:val="32"/>
          <w:highlight w:val="none"/>
          <w:lang w:val="en-US" w:eastAsia="zh-CN" w:bidi="ar-SA"/>
        </w:rPr>
        <w:t xml:space="preserve">【批发、仓储经营企业备案供虚假材料情形】 </w:t>
      </w:r>
      <w:r>
        <w:rPr>
          <w:rFonts w:hint="eastAsia" w:ascii="Times New Roman" w:hAnsi="Times New Roman" w:eastAsia="仿宋_GB2312" w:cs="Times New Roman"/>
          <w:color w:val="auto"/>
          <w:kern w:val="0"/>
          <w:sz w:val="32"/>
          <w:szCs w:val="32"/>
          <w:highlight w:val="none"/>
          <w:lang w:val="en-US" w:eastAsia="zh-CN" w:bidi="ar-SA"/>
        </w:rPr>
        <w:t>企业在进行成品油批发、仓储经营企业备案时，隐瞒有关情况或者提供虚假备案材料的，省商务厅不予备案，并给予警告。</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企业通过隐瞒有关情况或者提供虚假备案材料取得备案回执的</w:t>
      </w:r>
      <w:r>
        <w:rPr>
          <w:rFonts w:hint="eastAsia" w:ascii="仿宋_GB2312" w:hAnsi="仿宋_GB2312" w:eastAsia="仿宋_GB2312" w:cs="仿宋_GB2312"/>
          <w:color w:val="auto"/>
          <w:kern w:val="0"/>
          <w:sz w:val="32"/>
          <w:szCs w:val="32"/>
          <w:highlight w:val="none"/>
          <w:lang w:val="en-US" w:eastAsia="zh-CN" w:bidi="ar-SA"/>
        </w:rPr>
        <w:t>，省商务厅应当撤销其备案回执，并可给予警告、通报批评或处5万元以下罚款。</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方正楷体_GB2312" w:hAnsi="方正楷体_GB2312" w:eastAsia="方正楷体_GB2312" w:cs="方正楷体_GB2312"/>
          <w:b/>
          <w:bCs/>
          <w:i w:val="0"/>
          <w:iCs w:val="0"/>
          <w:caps w:val="0"/>
          <w:color w:val="auto"/>
          <w:spacing w:val="0"/>
          <w:sz w:val="32"/>
          <w:szCs w:val="32"/>
          <w:highlight w:val="none"/>
        </w:rPr>
        <w:t>第三十</w:t>
      </w:r>
      <w:r>
        <w:rPr>
          <w:rFonts w:hint="eastAsia" w:ascii="方正楷体_GB2312" w:hAnsi="方正楷体_GB2312" w:eastAsia="方正楷体_GB2312" w:cs="方正楷体_GB2312"/>
          <w:b/>
          <w:bCs/>
          <w:i w:val="0"/>
          <w:iCs w:val="0"/>
          <w:caps w:val="0"/>
          <w:color w:val="auto"/>
          <w:spacing w:val="0"/>
          <w:sz w:val="32"/>
          <w:szCs w:val="32"/>
          <w:highlight w:val="none"/>
          <w:lang w:eastAsia="zh-CN"/>
        </w:rPr>
        <w:t>六</w:t>
      </w:r>
      <w:r>
        <w:rPr>
          <w:rFonts w:hint="eastAsia" w:ascii="方正楷体_GB2312" w:hAnsi="方正楷体_GB2312" w:eastAsia="方正楷体_GB2312" w:cs="方正楷体_GB2312"/>
          <w:b/>
          <w:bCs/>
          <w:i w:val="0"/>
          <w:iCs w:val="0"/>
          <w:caps w:val="0"/>
          <w:color w:val="auto"/>
          <w:spacing w:val="0"/>
          <w:sz w:val="32"/>
          <w:szCs w:val="32"/>
          <w:highlight w:val="none"/>
        </w:rPr>
        <w:t>条</w:t>
      </w:r>
      <w:r>
        <w:rPr>
          <w:rFonts w:hint="eastAsia" w:ascii="Times New Roman" w:hAnsi="Times New Roman" w:eastAsia="楷体_GB2312" w:cs="Times New Roman"/>
          <w:b/>
          <w:bCs/>
          <w:color w:val="auto"/>
          <w:kern w:val="0"/>
          <w:sz w:val="32"/>
          <w:szCs w:val="32"/>
          <w:highlight w:val="none"/>
          <w:lang w:val="en-US" w:eastAsia="zh-CN" w:bidi="ar-SA"/>
        </w:rPr>
        <w:t xml:space="preserve">【成品油零售经营资格许可提供虚假材料情形】 </w:t>
      </w:r>
      <w:r>
        <w:rPr>
          <w:rFonts w:hint="eastAsia" w:ascii="Times New Roman" w:hAnsi="Times New Roman" w:eastAsia="仿宋_GB2312" w:cs="Times New Roman"/>
          <w:color w:val="auto"/>
          <w:kern w:val="0"/>
          <w:sz w:val="32"/>
          <w:szCs w:val="32"/>
          <w:highlight w:val="none"/>
          <w:lang w:val="en-US" w:eastAsia="zh-CN" w:bidi="ar-SA"/>
        </w:rPr>
        <w:t>企业隐瞒有关情况或者提供虚假材料申请成品油零售经营资格许可的，市级商务部门应当不予受理或者不予许可，并给予警告；该企业在一年内不得再次申请成品油零售经营资格许可。</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方正楷体_GB2312" w:hAnsi="方正楷体_GB2312" w:eastAsia="方正楷体_GB2312" w:cs="方正楷体_GB2312"/>
          <w:b/>
          <w:bCs/>
          <w:i w:val="0"/>
          <w:iCs w:val="0"/>
          <w:caps w:val="0"/>
          <w:color w:val="auto"/>
          <w:spacing w:val="0"/>
          <w:sz w:val="32"/>
          <w:szCs w:val="32"/>
          <w:highlight w:val="none"/>
        </w:rPr>
        <w:t>第三十</w:t>
      </w:r>
      <w:r>
        <w:rPr>
          <w:rFonts w:hint="eastAsia" w:ascii="方正楷体_GB2312" w:hAnsi="方正楷体_GB2312" w:eastAsia="方正楷体_GB2312" w:cs="方正楷体_GB2312"/>
          <w:b/>
          <w:bCs/>
          <w:i w:val="0"/>
          <w:iCs w:val="0"/>
          <w:caps w:val="0"/>
          <w:color w:val="auto"/>
          <w:spacing w:val="0"/>
          <w:sz w:val="32"/>
          <w:szCs w:val="32"/>
          <w:highlight w:val="none"/>
          <w:lang w:eastAsia="zh-CN"/>
        </w:rPr>
        <w:t>七</w:t>
      </w:r>
      <w:r>
        <w:rPr>
          <w:rFonts w:hint="eastAsia" w:ascii="方正楷体_GB2312" w:hAnsi="方正楷体_GB2312" w:eastAsia="方正楷体_GB2312" w:cs="方正楷体_GB2312"/>
          <w:b/>
          <w:bCs/>
          <w:i w:val="0"/>
          <w:iCs w:val="0"/>
          <w:caps w:val="0"/>
          <w:color w:val="auto"/>
          <w:spacing w:val="0"/>
          <w:sz w:val="32"/>
          <w:szCs w:val="32"/>
          <w:highlight w:val="none"/>
        </w:rPr>
        <w:t>条</w:t>
      </w:r>
      <w:r>
        <w:rPr>
          <w:rFonts w:eastAsia="楷体_GB2312"/>
          <w:b/>
          <w:bCs/>
          <w:color w:val="auto"/>
          <w:kern w:val="0"/>
          <w:sz w:val="32"/>
          <w:szCs w:val="32"/>
          <w:highlight w:val="none"/>
        </w:rPr>
        <w:t>【撤销许可情形】</w:t>
      </w:r>
      <w:r>
        <w:rPr>
          <w:rFonts w:hint="eastAsia" w:eastAsia="楷体_GB2312"/>
          <w:b/>
          <w:bCs/>
          <w:color w:val="auto"/>
          <w:kern w:val="0"/>
          <w:sz w:val="32"/>
          <w:szCs w:val="32"/>
          <w:highlight w:val="none"/>
          <w:lang w:val="en-US" w:eastAsia="zh-CN"/>
        </w:rPr>
        <w:t xml:space="preserve"> </w:t>
      </w:r>
      <w:r>
        <w:rPr>
          <w:rFonts w:hint="eastAsia" w:ascii="Times New Roman" w:hAnsi="Times New Roman" w:eastAsia="仿宋_GB2312" w:cs="Times New Roman"/>
          <w:color w:val="auto"/>
          <w:kern w:val="0"/>
          <w:sz w:val="32"/>
          <w:szCs w:val="32"/>
          <w:highlight w:val="none"/>
          <w:lang w:val="en-US" w:eastAsia="zh-CN" w:bidi="ar-SA"/>
        </w:rPr>
        <w:t>有下列情形之一的，作出成品油零售经营资格许可决定的市级商务部门或者其上级行政机关，根据利害关系人的请求或依据职权，可以撤销成品油零售经营资格许可：</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（一）行政机关工作人员滥用职权、玩忽职守作出准予许可决定的；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（二）超越法定职权或违反法定程序作出准予许可决定的；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（三）对不具备申请资格或者不符合法定条件的申请人作出准予许可决定的；</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eastAsia="仿宋_GB2312"/>
          <w:color w:val="auto"/>
          <w:kern w:val="0"/>
          <w:sz w:val="32"/>
          <w:szCs w:val="32"/>
          <w:highlight w:val="none"/>
        </w:rPr>
        <w:t>（四）</w:t>
      </w:r>
      <w:r>
        <w:rPr>
          <w:rFonts w:hint="eastAsia" w:ascii="仿宋_GB2312" w:hAnsi="仿宋_GB2312" w:eastAsia="仿宋_GB2312" w:cs="仿宋_GB2312"/>
          <w:color w:val="auto"/>
          <w:sz w:val="32"/>
          <w:szCs w:val="32"/>
          <w:highlight w:val="none"/>
        </w:rPr>
        <w:t>隐瞒、伪造、提供虚假油品购销等经营数据的；</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（五）存在加油机作弊、偷逃税等违法违规行为的；</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仿宋_GB2312" w:hAnsi="仿宋_GB2312" w:eastAsia="仿宋_GB2312" w:cs="仿宋_GB2312"/>
          <w:color w:val="auto"/>
          <w:sz w:val="32"/>
          <w:szCs w:val="32"/>
          <w:highlight w:val="none"/>
        </w:rPr>
        <w:t>（六）向未经国家相关产业部门批准的炼油企业或未经商务主管部门备案的成品油批发企业购进成品油的；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（七）依法可以撤销行政许可的其他情形。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企业以欺骗、贿赂等不正当手段取得成品油零售经营资格许可的，作出许可决定的市级商务部门或者其上级行政机关应当撤销其成品油零售经营资格许可，并给予警告、通报批评或</w:t>
      </w:r>
      <w:r>
        <w:rPr>
          <w:rFonts w:hint="eastAsia" w:ascii="仿宋_GB2312" w:hAnsi="仿宋_GB2312" w:eastAsia="仿宋_GB2312" w:cs="仿宋_GB2312"/>
          <w:color w:val="auto"/>
          <w:kern w:val="0"/>
          <w:sz w:val="32"/>
          <w:szCs w:val="32"/>
          <w:highlight w:val="none"/>
          <w:lang w:val="en-US" w:eastAsia="zh-CN" w:bidi="ar-SA"/>
        </w:rPr>
        <w:t>处10万元以下罚</w:t>
      </w:r>
      <w:r>
        <w:rPr>
          <w:rFonts w:hint="eastAsia" w:ascii="Times New Roman" w:hAnsi="Times New Roman" w:eastAsia="仿宋_GB2312" w:cs="Times New Roman"/>
          <w:color w:val="auto"/>
          <w:kern w:val="0"/>
          <w:sz w:val="32"/>
          <w:szCs w:val="32"/>
          <w:highlight w:val="none"/>
          <w:lang w:val="en-US" w:eastAsia="zh-CN" w:bidi="ar-SA"/>
        </w:rPr>
        <w:t>款；该企业在三年内不得再次申请成品油零售经营资格许可。</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方正楷体_GB2312" w:hAnsi="方正楷体_GB2312" w:eastAsia="方正楷体_GB2312" w:cs="方正楷体_GB2312"/>
          <w:b/>
          <w:bCs/>
          <w:i w:val="0"/>
          <w:iCs w:val="0"/>
          <w:caps w:val="0"/>
          <w:color w:val="auto"/>
          <w:spacing w:val="0"/>
          <w:sz w:val="32"/>
          <w:szCs w:val="32"/>
          <w:highlight w:val="none"/>
        </w:rPr>
        <w:t>第三十</w:t>
      </w:r>
      <w:r>
        <w:rPr>
          <w:rFonts w:hint="eastAsia" w:ascii="方正楷体_GB2312" w:hAnsi="方正楷体_GB2312" w:eastAsia="方正楷体_GB2312" w:cs="方正楷体_GB2312"/>
          <w:b/>
          <w:bCs/>
          <w:i w:val="0"/>
          <w:iCs w:val="0"/>
          <w:caps w:val="0"/>
          <w:color w:val="auto"/>
          <w:spacing w:val="0"/>
          <w:sz w:val="32"/>
          <w:szCs w:val="32"/>
          <w:highlight w:val="none"/>
          <w:lang w:eastAsia="zh-CN"/>
        </w:rPr>
        <w:t>八</w:t>
      </w:r>
      <w:r>
        <w:rPr>
          <w:rFonts w:hint="eastAsia" w:ascii="方正楷体_GB2312" w:hAnsi="方正楷体_GB2312" w:eastAsia="方正楷体_GB2312" w:cs="方正楷体_GB2312"/>
          <w:b/>
          <w:bCs/>
          <w:i w:val="0"/>
          <w:iCs w:val="0"/>
          <w:caps w:val="0"/>
          <w:color w:val="auto"/>
          <w:spacing w:val="0"/>
          <w:sz w:val="32"/>
          <w:szCs w:val="32"/>
          <w:highlight w:val="none"/>
        </w:rPr>
        <w:t>条</w:t>
      </w:r>
      <w:r>
        <w:rPr>
          <w:rFonts w:eastAsia="楷体_GB2312"/>
          <w:b/>
          <w:bCs/>
          <w:color w:val="auto"/>
          <w:kern w:val="0"/>
          <w:sz w:val="32"/>
          <w:szCs w:val="32"/>
          <w:highlight w:val="none"/>
        </w:rPr>
        <w:t>【注销许可情形】</w:t>
      </w:r>
      <w:r>
        <w:rPr>
          <w:rFonts w:hint="eastAsia" w:eastAsia="楷体_GB2312"/>
          <w:b/>
          <w:bCs/>
          <w:color w:val="auto"/>
          <w:kern w:val="0"/>
          <w:sz w:val="32"/>
          <w:szCs w:val="32"/>
          <w:highlight w:val="none"/>
          <w:lang w:val="en-US" w:eastAsia="zh-CN"/>
        </w:rPr>
        <w:t xml:space="preserve"> </w:t>
      </w:r>
      <w:r>
        <w:rPr>
          <w:rFonts w:hint="eastAsia" w:ascii="Times New Roman" w:hAnsi="Times New Roman" w:eastAsia="仿宋_GB2312" w:cs="Times New Roman"/>
          <w:color w:val="auto"/>
          <w:kern w:val="0"/>
          <w:sz w:val="32"/>
          <w:szCs w:val="32"/>
          <w:highlight w:val="none"/>
          <w:lang w:val="en-US" w:eastAsia="zh-CN" w:bidi="ar-SA"/>
        </w:rPr>
        <w:t>成品油零售经营企业有下列情形之一的，作出许可决定的市级商务部门应当依法办理成品油零售经营资格许可注销手续：</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（一）成品油零售经营批准证书有效期满未延续的；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（二）成品油零售经营企业依法终止的；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（三）成品油零售经营资格许可依法被撤销、撤回，或者相关许可证件、营业执照依法被吊销的；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（四）因不可抗力导致行政许可事项无法实施的；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（五）法律、法规规定的其他应当注销的情形。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方正楷体_GB2312" w:hAnsi="方正楷体_GB2312" w:eastAsia="方正楷体_GB2312" w:cs="方正楷体_GB2312"/>
          <w:b/>
          <w:bCs/>
          <w:i w:val="0"/>
          <w:iCs w:val="0"/>
          <w:caps w:val="0"/>
          <w:color w:val="auto"/>
          <w:spacing w:val="0"/>
          <w:sz w:val="32"/>
          <w:szCs w:val="32"/>
          <w:highlight w:val="none"/>
        </w:rPr>
        <w:t>第三十</w:t>
      </w:r>
      <w:r>
        <w:rPr>
          <w:rFonts w:hint="eastAsia" w:ascii="方正楷体_GB2312" w:hAnsi="方正楷体_GB2312" w:eastAsia="方正楷体_GB2312" w:cs="方正楷体_GB2312"/>
          <w:b/>
          <w:bCs/>
          <w:i w:val="0"/>
          <w:iCs w:val="0"/>
          <w:caps w:val="0"/>
          <w:color w:val="auto"/>
          <w:spacing w:val="0"/>
          <w:sz w:val="32"/>
          <w:szCs w:val="32"/>
          <w:highlight w:val="none"/>
          <w:lang w:eastAsia="zh-CN"/>
        </w:rPr>
        <w:t>九</w:t>
      </w:r>
      <w:r>
        <w:rPr>
          <w:rFonts w:hint="eastAsia" w:ascii="方正楷体_GB2312" w:hAnsi="方正楷体_GB2312" w:eastAsia="方正楷体_GB2312" w:cs="方正楷体_GB2312"/>
          <w:b/>
          <w:bCs/>
          <w:i w:val="0"/>
          <w:iCs w:val="0"/>
          <w:caps w:val="0"/>
          <w:color w:val="auto"/>
          <w:spacing w:val="0"/>
          <w:sz w:val="32"/>
          <w:szCs w:val="32"/>
          <w:highlight w:val="none"/>
        </w:rPr>
        <w:t>条</w:t>
      </w:r>
      <w:r>
        <w:rPr>
          <w:rFonts w:eastAsia="楷体_GB2312"/>
          <w:b/>
          <w:bCs/>
          <w:color w:val="auto"/>
          <w:kern w:val="0"/>
          <w:sz w:val="32"/>
          <w:szCs w:val="32"/>
          <w:highlight w:val="none"/>
        </w:rPr>
        <w:t>【</w:t>
      </w:r>
      <w:r>
        <w:rPr>
          <w:rFonts w:hint="eastAsia" w:eastAsia="楷体_GB2312"/>
          <w:b/>
          <w:bCs/>
          <w:color w:val="auto"/>
          <w:kern w:val="0"/>
          <w:sz w:val="32"/>
          <w:szCs w:val="32"/>
          <w:highlight w:val="none"/>
        </w:rPr>
        <w:t>行政</w:t>
      </w:r>
      <w:r>
        <w:rPr>
          <w:rFonts w:eastAsia="楷体_GB2312"/>
          <w:b/>
          <w:bCs/>
          <w:color w:val="auto"/>
          <w:kern w:val="0"/>
          <w:sz w:val="32"/>
          <w:szCs w:val="32"/>
          <w:highlight w:val="none"/>
        </w:rPr>
        <w:t>处罚情形】</w:t>
      </w:r>
      <w:r>
        <w:rPr>
          <w:rFonts w:hint="eastAsia" w:eastAsia="楷体_GB2312"/>
          <w:b/>
          <w:bCs/>
          <w:color w:val="auto"/>
          <w:kern w:val="0"/>
          <w:sz w:val="32"/>
          <w:szCs w:val="32"/>
          <w:highlight w:val="none"/>
          <w:lang w:val="en-US" w:eastAsia="zh-CN"/>
        </w:rPr>
        <w:t xml:space="preserve"> </w:t>
      </w:r>
      <w:r>
        <w:rPr>
          <w:rFonts w:hint="eastAsia" w:ascii="Times New Roman" w:hAnsi="Times New Roman" w:eastAsia="仿宋_GB2312" w:cs="Times New Roman"/>
          <w:color w:val="auto"/>
          <w:kern w:val="0"/>
          <w:sz w:val="32"/>
          <w:szCs w:val="32"/>
          <w:highlight w:val="none"/>
          <w:lang w:val="en-US" w:eastAsia="zh-CN" w:bidi="ar-SA"/>
        </w:rPr>
        <w:t>有下列情形之一的，由县级</w:t>
      </w:r>
      <w:r>
        <w:rPr>
          <w:rFonts w:hint="eastAsia" w:ascii="仿宋_GB2312" w:hAnsi="仿宋_GB2312" w:eastAsia="仿宋_GB2312" w:cs="仿宋_GB2312"/>
          <w:color w:val="auto"/>
          <w:kern w:val="0"/>
          <w:sz w:val="32"/>
          <w:szCs w:val="32"/>
          <w:highlight w:val="none"/>
          <w:lang w:val="en-US" w:eastAsia="zh-CN" w:bidi="ar-SA"/>
        </w:rPr>
        <w:t>以上商务主管部门责令限期改正，并可给予警告、通报批评或处5万元以下罚款：</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（一）违反本细则第八条规定，成品油批发、仓储经营企业的备案信息发生变化，但无正当理由未在规定时限内履行变更备案手续的；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（二）违反本细则第十九条规定，成品油经营企业未按要求建立油品购销存和出入库台账的，或者台账弄虚作假的；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（三）违反本细则第二十三条规定，成品油零售经营企业未按要求办理歇业相关手续且逾期不改正的；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四）违反本细则第二十五条规定，成品油零售经营企业未准确明示油品种类和标号进行销售的，或者加油设施罩棚标注的企业名称与成品油零售经营批准证书登记信息不相符的，或者加油站开展特许经营但未在加油站罩棚显著位置标识“特许”或“特许经营”字样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（五）违反本细则第二十九条、第三十条规定，成品油经营企业不配合检查，或检查不合格且限期整改不到位的。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方正楷体_GB2312" w:hAnsi="方正楷体_GB2312" w:eastAsia="方正楷体_GB2312" w:cs="方正楷体_GB2312"/>
          <w:b/>
          <w:bCs/>
          <w:i w:val="0"/>
          <w:iCs w:val="0"/>
          <w:caps w:val="0"/>
          <w:color w:val="auto"/>
          <w:spacing w:val="0"/>
          <w:sz w:val="32"/>
          <w:szCs w:val="32"/>
          <w:highlight w:val="none"/>
        </w:rPr>
        <w:t>第</w:t>
      </w:r>
      <w:r>
        <w:rPr>
          <w:rFonts w:hint="eastAsia" w:ascii="方正楷体_GB2312" w:hAnsi="方正楷体_GB2312" w:eastAsia="方正楷体_GB2312" w:cs="方正楷体_GB2312"/>
          <w:b/>
          <w:bCs/>
          <w:i w:val="0"/>
          <w:iCs w:val="0"/>
          <w:caps w:val="0"/>
          <w:color w:val="auto"/>
          <w:spacing w:val="0"/>
          <w:sz w:val="32"/>
          <w:szCs w:val="32"/>
          <w:highlight w:val="none"/>
          <w:lang w:eastAsia="zh-CN"/>
        </w:rPr>
        <w:t>四十</w:t>
      </w:r>
      <w:r>
        <w:rPr>
          <w:rFonts w:hint="eastAsia" w:ascii="方正楷体_GB2312" w:hAnsi="方正楷体_GB2312" w:eastAsia="方正楷体_GB2312" w:cs="方正楷体_GB2312"/>
          <w:b/>
          <w:bCs/>
          <w:i w:val="0"/>
          <w:iCs w:val="0"/>
          <w:caps w:val="0"/>
          <w:color w:val="auto"/>
          <w:spacing w:val="0"/>
          <w:sz w:val="32"/>
          <w:szCs w:val="32"/>
          <w:highlight w:val="none"/>
        </w:rPr>
        <w:t>条</w:t>
      </w:r>
      <w:r>
        <w:rPr>
          <w:rFonts w:eastAsia="楷体_GB2312"/>
          <w:b/>
          <w:bCs/>
          <w:color w:val="auto"/>
          <w:kern w:val="0"/>
          <w:sz w:val="32"/>
          <w:szCs w:val="32"/>
          <w:highlight w:val="none"/>
        </w:rPr>
        <w:t>【</w:t>
      </w:r>
      <w:r>
        <w:rPr>
          <w:rFonts w:hint="eastAsia" w:eastAsia="楷体_GB2312"/>
          <w:b/>
          <w:bCs/>
          <w:color w:val="auto"/>
          <w:kern w:val="0"/>
          <w:sz w:val="32"/>
          <w:szCs w:val="32"/>
          <w:highlight w:val="none"/>
        </w:rPr>
        <w:t>行政</w:t>
      </w:r>
      <w:r>
        <w:rPr>
          <w:rFonts w:eastAsia="楷体_GB2312"/>
          <w:b/>
          <w:bCs/>
          <w:color w:val="auto"/>
          <w:kern w:val="0"/>
          <w:sz w:val="32"/>
          <w:szCs w:val="32"/>
          <w:highlight w:val="none"/>
        </w:rPr>
        <w:t>处罚情形】</w:t>
      </w:r>
      <w:r>
        <w:rPr>
          <w:rFonts w:hint="eastAsia" w:eastAsia="楷体_GB2312"/>
          <w:b/>
          <w:bCs/>
          <w:color w:val="auto"/>
          <w:kern w:val="0"/>
          <w:sz w:val="32"/>
          <w:szCs w:val="32"/>
          <w:highlight w:val="none"/>
          <w:lang w:val="en-US" w:eastAsia="zh-CN"/>
        </w:rPr>
        <w:t xml:space="preserve"> </w:t>
      </w:r>
      <w:r>
        <w:rPr>
          <w:rFonts w:hint="eastAsia" w:ascii="Times New Roman" w:hAnsi="Times New Roman" w:eastAsia="仿宋_GB2312" w:cs="Times New Roman"/>
          <w:color w:val="auto"/>
          <w:kern w:val="0"/>
          <w:sz w:val="32"/>
          <w:szCs w:val="32"/>
          <w:highlight w:val="none"/>
          <w:lang w:val="en-US" w:eastAsia="zh-CN" w:bidi="ar-SA"/>
        </w:rPr>
        <w:t>有下列情形之一的，由县级以上地方商务主管部门责令限期改正，并可给予警告、通报批</w:t>
      </w:r>
      <w:r>
        <w:rPr>
          <w:rFonts w:hint="eastAsia" w:ascii="仿宋_GB2312" w:hAnsi="仿宋_GB2312" w:eastAsia="仿宋_GB2312" w:cs="仿宋_GB2312"/>
          <w:color w:val="auto"/>
          <w:kern w:val="0"/>
          <w:sz w:val="32"/>
          <w:szCs w:val="32"/>
          <w:highlight w:val="none"/>
          <w:lang w:val="en-US" w:eastAsia="zh-CN" w:bidi="ar-SA"/>
        </w:rPr>
        <w:t>评或处10万元以下罚款：</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（一）成品油零售经营企业不再符合本细则第十条许可条件但继续从事成品油零售经营活动的；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（二）违反本细则第十六条规定，成品油零售经营企业涂改、倒卖、出租、转借、质押或者以其他形式转让成品油零售经营批准证书的；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（三）违反本细则第二十一条规定，成品油经营企业隐瞒有关情况、不报送油品购销存数据或提供虚假数据的；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（四）违反本细则第二十二条规定，擅自新建、改（扩）建成品油零售网点的；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（五）违反本细则第二十四条第一款规定，成品油经营企业未按规定购进、销售成品油的；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（六）违反本细则第二十四条第二款规定，成品油仓储经营企业不能提供代储油品合法来源及委托人合法证明的；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（七）违反本细则第二十四条第三款规定，成品油批发经营企业采用直接加注等方式向机动车船、非道路移动机械或终端用户加注成品油的；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（八）违反本细则第二十四条规定，成品油零售经营企业未经批准在零售网点以外加注成品油的；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（九）违反本细则</w:t>
      </w:r>
      <w:r>
        <w:rPr>
          <w:rFonts w:hint="eastAsia" w:ascii="仿宋_GB2312" w:hAnsi="仿宋_GB2312" w:eastAsia="仿宋_GB2312" w:cs="仿宋_GB2312"/>
          <w:b w:val="0"/>
          <w:bCs w:val="0"/>
          <w:color w:val="auto"/>
          <w:kern w:val="2"/>
          <w:sz w:val="32"/>
          <w:szCs w:val="32"/>
          <w:highlight w:val="none"/>
          <w:lang w:val="en-US" w:eastAsia="zh-CN" w:bidi="ar-SA"/>
        </w:rPr>
        <w:t>第三十三条规定，</w:t>
      </w:r>
      <w:r>
        <w:rPr>
          <w:rFonts w:hint="eastAsia" w:ascii="仿宋_GB2312" w:hAnsi="仿宋_GB2312" w:eastAsia="仿宋_GB2312" w:cs="仿宋_GB2312"/>
          <w:b w:val="0"/>
          <w:bCs w:val="0"/>
          <w:color w:val="auto"/>
          <w:kern w:val="2"/>
          <w:sz w:val="32"/>
          <w:szCs w:val="32"/>
          <w:highlight w:val="none"/>
          <w:lang w:val="en-US" w:eastAsia="zh-CN" w:bidi="ar-SA"/>
        </w:rPr>
        <w:t>替代燃料的网点建设、销售不符合要求</w:t>
      </w:r>
      <w:r>
        <w:rPr>
          <w:rFonts w:hint="eastAsia" w:ascii="仿宋_GB2312" w:hAnsi="仿宋_GB2312" w:eastAsia="仿宋_GB2312" w:cs="仿宋_GB2312"/>
          <w:b w:val="0"/>
          <w:bCs w:val="0"/>
          <w:i w:val="0"/>
          <w:iCs w:val="0"/>
          <w:caps w:val="0"/>
          <w:color w:val="auto"/>
          <w:spacing w:val="0"/>
          <w:kern w:val="2"/>
          <w:sz w:val="32"/>
          <w:szCs w:val="32"/>
          <w:highlight w:val="none"/>
          <w:shd w:val="clear" w:color="auto" w:fill="auto"/>
          <w:lang w:eastAsia="zh-CN" w:bidi="ar-SA"/>
        </w:rPr>
        <w:t>的</w:t>
      </w:r>
      <w:r>
        <w:rPr>
          <w:rFonts w:hint="eastAsia" w:ascii="仿宋_GB2312" w:hAnsi="仿宋_GB2312" w:eastAsia="仿宋_GB2312" w:cs="仿宋_GB2312"/>
          <w:b w:val="0"/>
          <w:bCs w:val="0"/>
          <w:i w:val="0"/>
          <w:iCs w:val="0"/>
          <w:caps w:val="0"/>
          <w:color w:val="auto"/>
          <w:spacing w:val="0"/>
          <w:kern w:val="2"/>
          <w:sz w:val="32"/>
          <w:szCs w:val="32"/>
          <w:highlight w:val="none"/>
          <w:shd w:val="clear" w:color="auto" w:fill="auto"/>
          <w:lang w:val="en-US" w:eastAsia="zh-CN" w:bidi="ar-SA"/>
        </w:rPr>
        <w: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（十）违反本细则规定的其他行为。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方正楷体_GB2312" w:hAnsi="方正楷体_GB2312" w:eastAsia="方正楷体_GB2312" w:cs="方正楷体_GB2312"/>
          <w:b/>
          <w:bCs/>
          <w:i w:val="0"/>
          <w:iCs w:val="0"/>
          <w:caps w:val="0"/>
          <w:color w:val="auto"/>
          <w:spacing w:val="0"/>
          <w:sz w:val="32"/>
          <w:szCs w:val="32"/>
          <w:highlight w:val="none"/>
        </w:rPr>
        <w:t>第四十</w:t>
      </w:r>
      <w:r>
        <w:rPr>
          <w:rFonts w:hint="eastAsia" w:ascii="方正楷体_GB2312" w:hAnsi="方正楷体_GB2312" w:eastAsia="方正楷体_GB2312" w:cs="方正楷体_GB2312"/>
          <w:b/>
          <w:bCs/>
          <w:i w:val="0"/>
          <w:iCs w:val="0"/>
          <w:caps w:val="0"/>
          <w:color w:val="auto"/>
          <w:spacing w:val="0"/>
          <w:sz w:val="32"/>
          <w:szCs w:val="32"/>
          <w:highlight w:val="none"/>
          <w:lang w:eastAsia="zh-CN"/>
        </w:rPr>
        <w:t>一</w:t>
      </w:r>
      <w:r>
        <w:rPr>
          <w:rFonts w:hint="eastAsia" w:ascii="方正楷体_GB2312" w:hAnsi="方正楷体_GB2312" w:eastAsia="方正楷体_GB2312" w:cs="方正楷体_GB2312"/>
          <w:b/>
          <w:bCs/>
          <w:i w:val="0"/>
          <w:iCs w:val="0"/>
          <w:caps w:val="0"/>
          <w:color w:val="auto"/>
          <w:spacing w:val="0"/>
          <w:sz w:val="32"/>
          <w:szCs w:val="32"/>
          <w:highlight w:val="none"/>
        </w:rPr>
        <w:t>条</w:t>
      </w:r>
      <w:r>
        <w:rPr>
          <w:rFonts w:eastAsia="楷体_GB2312"/>
          <w:b/>
          <w:bCs/>
          <w:color w:val="auto"/>
          <w:kern w:val="0"/>
          <w:sz w:val="32"/>
          <w:szCs w:val="32"/>
          <w:highlight w:val="none"/>
        </w:rPr>
        <w:t>【</w:t>
      </w:r>
      <w:r>
        <w:rPr>
          <w:rFonts w:hint="eastAsia" w:eastAsia="楷体_GB2312"/>
          <w:b/>
          <w:bCs/>
          <w:color w:val="auto"/>
          <w:kern w:val="0"/>
          <w:sz w:val="32"/>
          <w:szCs w:val="32"/>
          <w:highlight w:val="none"/>
        </w:rPr>
        <w:t>追究刑事责任</w:t>
      </w:r>
      <w:r>
        <w:rPr>
          <w:rFonts w:eastAsia="楷体_GB2312"/>
          <w:b/>
          <w:bCs/>
          <w:color w:val="auto"/>
          <w:kern w:val="0"/>
          <w:sz w:val="32"/>
          <w:szCs w:val="32"/>
          <w:highlight w:val="none"/>
        </w:rPr>
        <w:t>情形】</w:t>
      </w:r>
      <w:r>
        <w:rPr>
          <w:rFonts w:hint="eastAsia" w:eastAsia="楷体_GB2312"/>
          <w:b/>
          <w:bCs/>
          <w:color w:val="auto"/>
          <w:kern w:val="0"/>
          <w:sz w:val="32"/>
          <w:szCs w:val="32"/>
          <w:highlight w:val="none"/>
          <w:lang w:val="en-US" w:eastAsia="zh-CN"/>
        </w:rPr>
        <w:t xml:space="preserve"> </w:t>
      </w:r>
      <w:r>
        <w:rPr>
          <w:rFonts w:hint="eastAsia" w:ascii="Times New Roman" w:hAnsi="Times New Roman" w:eastAsia="仿宋_GB2312" w:cs="Times New Roman"/>
          <w:color w:val="auto"/>
          <w:kern w:val="0"/>
          <w:sz w:val="32"/>
          <w:szCs w:val="32"/>
          <w:highlight w:val="none"/>
          <w:lang w:val="en-US" w:eastAsia="zh-CN" w:bidi="ar-SA"/>
        </w:rPr>
        <w:t>县级以上商务主管部门、市级政府指定部门及其工作人员违反本细则规定，有下列情形之一的，由其上级行政机关或监察机关责令改正；情节严重的，对负有责任的领导人员和直接责任人员依法给予处分；构成犯罪的，依法追究刑事责任：</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（一）对符合法定条件的申请不予受理的；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（二）未向申请人说明不受理申请或者不予备案、不予许可理由的；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（三）对不符合条件的申请人予以许可或者超越法定职权作出许可的；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（四）对符合法定条件的申请人不予批准或无正当理由不在法定期限内作出批准决定的；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（五）在实施成品油批发、仓储经营企业备案或零售经营资格许可过程中擅自收费的；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（六）不依法履行监督职责或监督不力，造成严重后果的。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jc w:val="center"/>
        <w:textAlignment w:val="auto"/>
        <w:rPr>
          <w:rFonts w:ascii="Times New Roman" w:hAnsi="Times New Roman" w:eastAsia="黑体" w:cs="Times New Roman"/>
          <w:color w:val="auto"/>
          <w:kern w:val="0"/>
          <w:sz w:val="32"/>
          <w:szCs w:val="32"/>
          <w:highlight w:val="none"/>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jc w:val="center"/>
        <w:textAlignment w:val="auto"/>
        <w:rPr>
          <w:rFonts w:hint="eastAsia" w:ascii="Times New Roman" w:hAnsi="Times New Roman" w:eastAsia="黑体" w:cs="Times New Roman"/>
          <w:color w:val="auto"/>
          <w:kern w:val="0"/>
          <w:sz w:val="32"/>
          <w:szCs w:val="32"/>
          <w:highlight w:val="none"/>
          <w:lang w:val="en-US" w:eastAsia="zh-CN" w:bidi="ar-SA"/>
        </w:rPr>
      </w:pPr>
      <w:r>
        <w:rPr>
          <w:rFonts w:ascii="Times New Roman" w:hAnsi="Times New Roman" w:eastAsia="黑体" w:cs="Times New Roman"/>
          <w:color w:val="auto"/>
          <w:kern w:val="0"/>
          <w:sz w:val="32"/>
          <w:szCs w:val="32"/>
          <w:highlight w:val="none"/>
          <w:lang w:val="en-US" w:eastAsia="zh-CN" w:bidi="ar-SA"/>
        </w:rPr>
        <w:t>第六章 附则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楷体_GB2312" w:cs="Times New Roman"/>
          <w:b/>
          <w:bCs/>
          <w:color w:val="auto"/>
          <w:kern w:val="0"/>
          <w:sz w:val="32"/>
          <w:szCs w:val="32"/>
          <w:highlight w:val="none"/>
          <w:lang w:val="en-US" w:eastAsia="zh-CN" w:bidi="ar-SA"/>
        </w:rPr>
        <w:t>第四十二条</w:t>
      </w:r>
      <w:r>
        <w:rPr>
          <w:rFonts w:eastAsia="楷体_GB2312"/>
          <w:b/>
          <w:bCs/>
          <w:color w:val="auto"/>
          <w:kern w:val="0"/>
          <w:sz w:val="32"/>
          <w:szCs w:val="32"/>
          <w:highlight w:val="none"/>
        </w:rPr>
        <w:t>【名词解释】</w:t>
      </w:r>
      <w:r>
        <w:rPr>
          <w:rFonts w:hint="eastAsia" w:eastAsia="楷体_GB2312"/>
          <w:b/>
          <w:bCs/>
          <w:color w:val="auto"/>
          <w:kern w:val="0"/>
          <w:sz w:val="32"/>
          <w:szCs w:val="32"/>
          <w:highlight w:val="none"/>
          <w:lang w:val="en-US" w:eastAsia="zh-CN"/>
        </w:rPr>
        <w:t xml:space="preserve"> </w:t>
      </w:r>
      <w:r>
        <w:rPr>
          <w:rFonts w:hint="eastAsia" w:ascii="Times New Roman" w:hAnsi="Times New Roman" w:eastAsia="仿宋_GB2312" w:cs="Times New Roman"/>
          <w:color w:val="auto"/>
          <w:kern w:val="0"/>
          <w:sz w:val="32"/>
          <w:szCs w:val="32"/>
          <w:highlight w:val="none"/>
          <w:lang w:val="en-US" w:eastAsia="zh-CN" w:bidi="ar-SA"/>
        </w:rPr>
        <w:t>本细则所称成品油是指汽油、煤油、柴油，及以上述油品为主要成分、符合国家产业政策和国家强制性产品质量标准、具有相同用途的乙醇汽油和生物柴油等替代燃料。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成品油批发是指向用于生产或经营的单位批量销售成品油的经营行为；成品油仓储是指利用油库设施提供成品油代储服务的经营行为；成品油零售是指利用零售网点向终端用户销售成品油的经营行为。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加油站租赁经营是指加油站出租方在一定期限内将加油站设施及建构筑物交由承租方经营，承租方向出租方交付租金并依照租赁经营合同对加油站实行自主经营的经营方式；加油站特许经营是指拥有与加油站经营相关的商号、注册商标、专有技术、经营模式、服务标准等经营资源的特许人，以合同形式将其拥有的经营资源许可被特许人使用，被特许人按照合同约定在统一的经营模式下开展经营，并向特许人支付特许经营费用的经营活动。</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成品油零售网点是指利用加油站、加油点从事成品油终端销售的经营站点；加油点是指只销售柴油的农村网点、水上加油趸船。</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撬装式加油装置是指符合《汽车加油加气加氢站技术标准》（GB50156-2021），集防火防爆双壁钢制储油罐、加油机、自动灭火器于一体并符合国家安全规范要求的阻隔防爆地面加油系统。</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eastAsia="zh-CN"/>
        </w:rPr>
        <w:t>设置</w:t>
      </w:r>
      <w:r>
        <w:rPr>
          <w:rFonts w:hint="eastAsia" w:ascii="仿宋_GB2312" w:hAnsi="仿宋_GB2312" w:eastAsia="仿宋_GB2312" w:cs="仿宋_GB2312"/>
          <w:color w:val="auto"/>
          <w:kern w:val="0"/>
          <w:sz w:val="32"/>
          <w:szCs w:val="32"/>
          <w:highlight w:val="none"/>
        </w:rPr>
        <w:t>撬装式加油装置</w:t>
      </w:r>
      <w:r>
        <w:rPr>
          <w:rFonts w:hint="eastAsia" w:ascii="仿宋_GB2312" w:hAnsi="仿宋_GB2312" w:eastAsia="仿宋_GB2312" w:cs="仿宋_GB2312"/>
          <w:color w:val="auto"/>
          <w:kern w:val="0"/>
          <w:sz w:val="32"/>
          <w:szCs w:val="32"/>
          <w:highlight w:val="none"/>
          <w:lang w:eastAsia="zh-CN"/>
        </w:rPr>
        <w:t>的</w:t>
      </w:r>
      <w:r>
        <w:rPr>
          <w:rFonts w:hint="eastAsia" w:ascii="仿宋_GB2312" w:hAnsi="仿宋_GB2312" w:eastAsia="仿宋_GB2312" w:cs="仿宋_GB2312"/>
          <w:color w:val="auto"/>
          <w:kern w:val="0"/>
          <w:sz w:val="32"/>
          <w:szCs w:val="32"/>
          <w:highlight w:val="none"/>
        </w:rPr>
        <w:t>重大工程</w:t>
      </w:r>
      <w:r>
        <w:rPr>
          <w:rFonts w:hint="eastAsia" w:ascii="仿宋_GB2312" w:hAnsi="仿宋_GB2312" w:eastAsia="仿宋_GB2312" w:cs="仿宋_GB2312"/>
          <w:color w:val="auto"/>
          <w:kern w:val="0"/>
          <w:sz w:val="32"/>
          <w:szCs w:val="32"/>
          <w:highlight w:val="none"/>
          <w:lang w:eastAsia="zh-CN"/>
        </w:rPr>
        <w:t>指列入省（市）级政府以上的重点工程项目</w:t>
      </w:r>
      <w:r>
        <w:rPr>
          <w:rFonts w:hint="eastAsia" w:ascii="仿宋_GB2312" w:hAnsi="仿宋_GB2312" w:eastAsia="仿宋_GB2312" w:cs="仿宋_GB2312"/>
          <w:color w:val="auto"/>
          <w:kern w:val="0"/>
          <w:sz w:val="32"/>
          <w:szCs w:val="32"/>
          <w:highlight w:val="none"/>
          <w:lang w:val="en-US" w:eastAsia="zh-CN"/>
        </w:rPr>
        <w:t>。</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eastAsia="zh-CN"/>
        </w:rPr>
        <w:t>设置</w:t>
      </w:r>
      <w:r>
        <w:rPr>
          <w:rFonts w:hint="eastAsia" w:ascii="仿宋_GB2312" w:hAnsi="仿宋_GB2312" w:eastAsia="仿宋_GB2312" w:cs="仿宋_GB2312"/>
          <w:color w:val="auto"/>
          <w:kern w:val="0"/>
          <w:sz w:val="32"/>
          <w:szCs w:val="32"/>
          <w:highlight w:val="none"/>
        </w:rPr>
        <w:t>撬装式加油装置</w:t>
      </w:r>
      <w:r>
        <w:rPr>
          <w:rFonts w:hint="eastAsia" w:ascii="仿宋_GB2312" w:hAnsi="仿宋_GB2312" w:eastAsia="仿宋_GB2312" w:cs="仿宋_GB2312"/>
          <w:color w:val="auto"/>
          <w:kern w:val="0"/>
          <w:sz w:val="32"/>
          <w:szCs w:val="32"/>
          <w:highlight w:val="none"/>
          <w:lang w:eastAsia="zh-CN"/>
        </w:rPr>
        <w:t>的大型矿山指年产量大于</w:t>
      </w:r>
      <w:r>
        <w:rPr>
          <w:rFonts w:hint="eastAsia" w:ascii="仿宋_GB2312" w:hAnsi="仿宋_GB2312" w:eastAsia="仿宋_GB2312" w:cs="仿宋_GB2312"/>
          <w:color w:val="auto"/>
          <w:kern w:val="0"/>
          <w:sz w:val="32"/>
          <w:szCs w:val="32"/>
          <w:highlight w:val="none"/>
          <w:lang w:val="en-US" w:eastAsia="zh-CN"/>
        </w:rPr>
        <w:t>100万吨的煤矿企业或相当规模的非煤矿山企业。</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成品油零售网点</w:t>
      </w:r>
      <w:r>
        <w:rPr>
          <w:rFonts w:ascii="Times New Roman" w:hAnsi="Times New Roman" w:eastAsia="仿宋_GB2312" w:cs="Times New Roman"/>
          <w:color w:val="auto"/>
          <w:kern w:val="0"/>
          <w:sz w:val="32"/>
          <w:szCs w:val="32"/>
          <w:highlight w:val="none"/>
          <w:lang w:val="en-US" w:eastAsia="zh-CN" w:bidi="ar-SA"/>
        </w:rPr>
        <w:t>新建是指成品油零售网点整体经营设施新开始建设的行为；迁建是指成品油零售网点经营设施因自然灾害、城市建设</w:t>
      </w:r>
      <w:r>
        <w:rPr>
          <w:rFonts w:hint="eastAsia" w:ascii="Times New Roman" w:hAnsi="Times New Roman" w:eastAsia="仿宋_GB2312" w:cs="Times New Roman"/>
          <w:color w:val="auto"/>
          <w:kern w:val="0"/>
          <w:sz w:val="32"/>
          <w:szCs w:val="32"/>
          <w:highlight w:val="none"/>
          <w:lang w:val="en-US" w:eastAsia="zh-CN" w:bidi="ar-SA"/>
        </w:rPr>
        <w:t>、政策调整</w:t>
      </w:r>
      <w:r>
        <w:rPr>
          <w:rFonts w:ascii="Times New Roman" w:hAnsi="Times New Roman" w:eastAsia="仿宋_GB2312" w:cs="Times New Roman"/>
          <w:color w:val="auto"/>
          <w:kern w:val="0"/>
          <w:sz w:val="32"/>
          <w:szCs w:val="32"/>
          <w:highlight w:val="none"/>
          <w:lang w:val="en-US" w:eastAsia="zh-CN" w:bidi="ar-SA"/>
        </w:rPr>
        <w:t>等原因，从原经营地址搬迁到另一地址的行为；</w:t>
      </w:r>
      <w:r>
        <w:rPr>
          <w:rFonts w:hint="eastAsia" w:ascii="Times New Roman" w:hAnsi="Times New Roman" w:eastAsia="仿宋_GB2312" w:cs="Times New Roman"/>
          <w:color w:val="auto"/>
          <w:kern w:val="0"/>
          <w:sz w:val="32"/>
          <w:szCs w:val="32"/>
          <w:highlight w:val="none"/>
          <w:lang w:val="en-US" w:eastAsia="zh-CN" w:bidi="ar-SA"/>
        </w:rPr>
        <w:t>改（扩）建是指成品油零售网点在原地址对主要经营设施进行改造或扩建的行为。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eastAsia="楷体_GB2312"/>
          <w:b/>
          <w:bCs/>
          <w:color w:val="auto"/>
          <w:kern w:val="0"/>
          <w:sz w:val="32"/>
          <w:szCs w:val="32"/>
          <w:highlight w:val="none"/>
        </w:rPr>
        <w:t>第</w:t>
      </w:r>
      <w:r>
        <w:rPr>
          <w:rFonts w:hint="eastAsia" w:eastAsia="楷体_GB2312"/>
          <w:b/>
          <w:bCs/>
          <w:color w:val="auto"/>
          <w:kern w:val="0"/>
          <w:sz w:val="32"/>
          <w:szCs w:val="32"/>
          <w:highlight w:val="none"/>
          <w:lang w:val="en-US" w:eastAsia="zh-CN"/>
        </w:rPr>
        <w:t>四十三</w:t>
      </w:r>
      <w:r>
        <w:rPr>
          <w:rFonts w:eastAsia="楷体_GB2312"/>
          <w:b/>
          <w:bCs/>
          <w:color w:val="auto"/>
          <w:kern w:val="0"/>
          <w:sz w:val="32"/>
          <w:szCs w:val="32"/>
          <w:highlight w:val="none"/>
        </w:rPr>
        <w:t>条【</w:t>
      </w:r>
      <w:r>
        <w:rPr>
          <w:rFonts w:hint="eastAsia" w:eastAsia="楷体_GB2312"/>
          <w:b/>
          <w:bCs/>
          <w:color w:val="auto"/>
          <w:kern w:val="0"/>
          <w:sz w:val="32"/>
          <w:szCs w:val="32"/>
          <w:highlight w:val="none"/>
          <w:lang w:eastAsia="zh-CN"/>
        </w:rPr>
        <w:t>政务公开</w:t>
      </w:r>
      <w:r>
        <w:rPr>
          <w:rFonts w:eastAsia="楷体_GB2312"/>
          <w:b/>
          <w:bCs/>
          <w:color w:val="auto"/>
          <w:kern w:val="0"/>
          <w:sz w:val="32"/>
          <w:szCs w:val="32"/>
          <w:highlight w:val="none"/>
        </w:rPr>
        <w:t>】</w:t>
      </w:r>
      <w:r>
        <w:rPr>
          <w:rFonts w:hint="eastAsia" w:ascii="仿宋_GB2312" w:hAnsi="仿宋_GB2312" w:eastAsia="仿宋_GB2312" w:cs="仿宋_GB2312"/>
          <w:b/>
          <w:bCs/>
          <w:color w:val="auto"/>
          <w:kern w:val="0"/>
          <w:sz w:val="32"/>
          <w:szCs w:val="32"/>
          <w:highlight w:val="none"/>
        </w:rPr>
        <w:t xml:space="preserve"> </w:t>
      </w:r>
      <w:r>
        <w:rPr>
          <w:rFonts w:hint="eastAsia" w:ascii="仿宋_GB2312" w:hAnsi="仿宋_GB2312" w:eastAsia="仿宋_GB2312" w:cs="仿宋_GB2312"/>
          <w:color w:val="auto"/>
          <w:kern w:val="0"/>
          <w:sz w:val="32"/>
          <w:szCs w:val="32"/>
          <w:highlight w:val="none"/>
          <w:lang w:val="en-US" w:eastAsia="zh-CN" w:bidi="ar-SA"/>
        </w:rPr>
        <w:t>商务部在全国石油市场管理信息系统(http://oilsyggs.mofcom.gov.cn)上公示成品油批发、仓储经营企业的许可、撤销、年度检查及成品油批发、仓储经营批准证书的变更、注销，国家有关石油政策、规定等事宜；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贵州省商务厅在贵州省商务厅电子政务网（http://swt.guizhou.gov.cn/）公示成品油零售经营企业的许可、撤销、年度检查及成品油零售经营批准证书的变更、注销，国家、省的有关石油政策、规定、通知等事宜。</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ascii="Times New Roman" w:hAnsi="Times New Roman" w:eastAsia="仿宋_GB2312" w:cs="Times New Roman"/>
          <w:color w:val="auto"/>
          <w:kern w:val="0"/>
          <w:sz w:val="32"/>
          <w:szCs w:val="32"/>
          <w:highlight w:val="none"/>
        </w:rPr>
      </w:pPr>
      <w:r>
        <w:rPr>
          <w:rFonts w:eastAsia="楷体_GB2312"/>
          <w:b/>
          <w:bCs/>
          <w:color w:val="auto"/>
          <w:kern w:val="0"/>
          <w:sz w:val="32"/>
          <w:szCs w:val="32"/>
          <w:highlight w:val="none"/>
        </w:rPr>
        <w:t>第</w:t>
      </w:r>
      <w:r>
        <w:rPr>
          <w:rFonts w:hint="eastAsia" w:eastAsia="楷体_GB2312"/>
          <w:b/>
          <w:bCs/>
          <w:color w:val="auto"/>
          <w:kern w:val="0"/>
          <w:sz w:val="32"/>
          <w:szCs w:val="32"/>
          <w:highlight w:val="none"/>
          <w:lang w:val="en-US" w:eastAsia="zh-CN"/>
        </w:rPr>
        <w:t>四十四</w:t>
      </w:r>
      <w:r>
        <w:rPr>
          <w:rFonts w:eastAsia="楷体_GB2312"/>
          <w:b/>
          <w:bCs/>
          <w:color w:val="auto"/>
          <w:kern w:val="0"/>
          <w:sz w:val="32"/>
          <w:szCs w:val="32"/>
          <w:highlight w:val="none"/>
        </w:rPr>
        <w:t>条【解释权限】</w:t>
      </w:r>
      <w:r>
        <w:rPr>
          <w:rFonts w:hint="eastAsia" w:eastAsia="楷体_GB2312"/>
          <w:b/>
          <w:bCs/>
          <w:color w:val="auto"/>
          <w:kern w:val="0"/>
          <w:sz w:val="32"/>
          <w:szCs w:val="32"/>
          <w:highlight w:val="none"/>
        </w:rPr>
        <w:t xml:space="preserve"> </w:t>
      </w:r>
      <w:r>
        <w:rPr>
          <w:rFonts w:ascii="Times New Roman" w:hAnsi="Times New Roman" w:eastAsia="仿宋_GB2312" w:cs="Times New Roman"/>
          <w:color w:val="auto"/>
          <w:kern w:val="0"/>
          <w:sz w:val="32"/>
          <w:szCs w:val="32"/>
          <w:highlight w:val="none"/>
        </w:rPr>
        <w:t>本</w:t>
      </w:r>
      <w:r>
        <w:rPr>
          <w:rFonts w:hint="eastAsia" w:ascii="Times New Roman" w:hAnsi="Times New Roman" w:eastAsia="仿宋_GB2312" w:cs="Times New Roman"/>
          <w:color w:val="auto"/>
          <w:kern w:val="0"/>
          <w:sz w:val="32"/>
          <w:szCs w:val="32"/>
          <w:highlight w:val="none"/>
        </w:rPr>
        <w:t>细则</w:t>
      </w:r>
      <w:r>
        <w:rPr>
          <w:rFonts w:ascii="Times New Roman" w:hAnsi="Times New Roman" w:eastAsia="仿宋_GB2312" w:cs="Times New Roman"/>
          <w:color w:val="auto"/>
          <w:kern w:val="0"/>
          <w:sz w:val="32"/>
          <w:szCs w:val="32"/>
          <w:highlight w:val="none"/>
        </w:rPr>
        <w:t>由</w:t>
      </w:r>
      <w:r>
        <w:rPr>
          <w:rFonts w:hint="eastAsia" w:ascii="Times New Roman" w:hAnsi="Times New Roman" w:eastAsia="仿宋_GB2312" w:cs="Times New Roman"/>
          <w:color w:val="auto"/>
          <w:kern w:val="0"/>
          <w:sz w:val="32"/>
          <w:szCs w:val="32"/>
          <w:highlight w:val="none"/>
        </w:rPr>
        <w:t>省商务厅</w:t>
      </w:r>
      <w:r>
        <w:rPr>
          <w:rFonts w:ascii="Times New Roman" w:hAnsi="Times New Roman" w:eastAsia="仿宋_GB2312" w:cs="Times New Roman"/>
          <w:color w:val="auto"/>
          <w:kern w:val="0"/>
          <w:sz w:val="32"/>
          <w:szCs w:val="32"/>
          <w:highlight w:val="none"/>
        </w:rPr>
        <w:t>负责解释。</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8" w:firstLineChars="186"/>
        <w:textAlignment w:val="auto"/>
        <w:rPr>
          <w:rFonts w:hint="eastAsia" w:ascii="Times New Roman" w:hAnsi="Times New Roman" w:eastAsia="仿宋_GB2312" w:cs="Times New Roman"/>
          <w:color w:val="auto"/>
          <w:kern w:val="0"/>
          <w:sz w:val="32"/>
          <w:szCs w:val="32"/>
          <w:highlight w:val="none"/>
          <w:lang w:eastAsia="zh-CN"/>
        </w:rPr>
      </w:pPr>
      <w:r>
        <w:rPr>
          <w:rFonts w:eastAsia="楷体_GB2312"/>
          <w:b/>
          <w:bCs/>
          <w:color w:val="auto"/>
          <w:kern w:val="0"/>
          <w:sz w:val="32"/>
          <w:szCs w:val="32"/>
          <w:highlight w:val="none"/>
        </w:rPr>
        <w:t>第</w:t>
      </w:r>
      <w:r>
        <w:rPr>
          <w:rFonts w:hint="eastAsia" w:eastAsia="楷体_GB2312"/>
          <w:b/>
          <w:bCs/>
          <w:color w:val="auto"/>
          <w:kern w:val="0"/>
          <w:sz w:val="32"/>
          <w:szCs w:val="32"/>
          <w:highlight w:val="none"/>
          <w:lang w:val="en-US" w:eastAsia="zh-CN"/>
        </w:rPr>
        <w:t>四十五</w:t>
      </w:r>
      <w:r>
        <w:rPr>
          <w:rFonts w:eastAsia="楷体_GB2312"/>
          <w:b/>
          <w:bCs/>
          <w:color w:val="auto"/>
          <w:kern w:val="0"/>
          <w:sz w:val="32"/>
          <w:szCs w:val="32"/>
          <w:highlight w:val="none"/>
        </w:rPr>
        <w:t>条【实施时间】</w:t>
      </w:r>
      <w:r>
        <w:rPr>
          <w:rFonts w:eastAsia="楷体_GB2312"/>
          <w:color w:val="auto"/>
          <w:kern w:val="0"/>
          <w:sz w:val="32"/>
          <w:szCs w:val="32"/>
          <w:highlight w:val="none"/>
        </w:rPr>
        <w:t xml:space="preserve"> </w:t>
      </w:r>
      <w:r>
        <w:rPr>
          <w:rFonts w:hint="eastAsia" w:ascii="Times New Roman" w:hAnsi="Times New Roman" w:eastAsia="仿宋_GB2312" w:cs="Times New Roman"/>
          <w:color w:val="auto"/>
          <w:kern w:val="0"/>
          <w:sz w:val="32"/>
          <w:szCs w:val="32"/>
          <w:highlight w:val="none"/>
        </w:rPr>
        <w:t>本细则</w:t>
      </w:r>
      <w:r>
        <w:rPr>
          <w:rFonts w:ascii="Times New Roman" w:hAnsi="Times New Roman" w:eastAsia="仿宋_GB2312" w:cs="Times New Roman"/>
          <w:color w:val="auto"/>
          <w:kern w:val="0"/>
          <w:sz w:val="32"/>
          <w:szCs w:val="32"/>
          <w:highlight w:val="none"/>
        </w:rPr>
        <w:t>自</w:t>
      </w:r>
      <w:r>
        <w:rPr>
          <w:rFonts w:hint="eastAsia" w:ascii="Times New Roman" w:hAnsi="Times New Roman" w:eastAsia="仿宋_GB2312" w:cs="Times New Roman"/>
          <w:color w:val="auto"/>
          <w:kern w:val="0"/>
          <w:sz w:val="32"/>
          <w:szCs w:val="32"/>
          <w:highlight w:val="none"/>
          <w:lang w:eastAsia="zh-CN"/>
        </w:rPr>
        <w:t>正式发布之日起</w:t>
      </w:r>
      <w:r>
        <w:rPr>
          <w:rFonts w:ascii="Times New Roman" w:hAnsi="Times New Roman" w:eastAsia="仿宋_GB2312" w:cs="Times New Roman"/>
          <w:color w:val="auto"/>
          <w:kern w:val="0"/>
          <w:sz w:val="32"/>
          <w:szCs w:val="32"/>
          <w:highlight w:val="none"/>
        </w:rPr>
        <w:t>施行。</w:t>
      </w:r>
      <w:r>
        <w:rPr>
          <w:rFonts w:hint="eastAsia" w:ascii="Times New Roman" w:hAnsi="Times New Roman" w:eastAsia="仿宋_GB2312" w:cs="Times New Roman"/>
          <w:color w:val="auto"/>
          <w:kern w:val="0"/>
          <w:sz w:val="32"/>
          <w:szCs w:val="32"/>
          <w:highlight w:val="none"/>
          <w:lang w:eastAsia="zh-CN"/>
        </w:rPr>
        <w:t>原</w:t>
      </w:r>
      <w:r>
        <w:rPr>
          <w:rFonts w:hint="eastAsia" w:ascii="Times New Roman" w:hAnsi="Times New Roman" w:eastAsia="仿宋_GB2312" w:cs="Times New Roman"/>
          <w:color w:val="auto"/>
          <w:kern w:val="0"/>
          <w:sz w:val="32"/>
          <w:szCs w:val="32"/>
          <w:highlight w:val="none"/>
        </w:rPr>
        <w:t>省商务厅</w:t>
      </w:r>
      <w:r>
        <w:rPr>
          <w:rFonts w:hint="eastAsia" w:ascii="Times New Roman" w:hAnsi="Times New Roman" w:eastAsia="仿宋_GB2312" w:cs="Times New Roman"/>
          <w:color w:val="auto"/>
          <w:kern w:val="0"/>
          <w:sz w:val="32"/>
          <w:szCs w:val="32"/>
          <w:highlight w:val="none"/>
          <w:lang w:eastAsia="zh-CN"/>
        </w:rPr>
        <w:t>《贵州省成品油市场管理实施细则》、</w:t>
      </w:r>
      <w:r>
        <w:rPr>
          <w:rFonts w:hint="eastAsia" w:ascii="Times New Roman" w:hAnsi="Times New Roman" w:eastAsia="仿宋_GB2312" w:cs="Times New Roman"/>
          <w:color w:val="auto"/>
          <w:kern w:val="0"/>
          <w:sz w:val="32"/>
          <w:szCs w:val="32"/>
          <w:highlight w:val="none"/>
        </w:rPr>
        <w:t>《贵州省成品油零售经营资格审批管理工作指引》</w:t>
      </w:r>
      <w:r>
        <w:rPr>
          <w:rFonts w:hint="eastAsia" w:ascii="Times New Roman" w:hAnsi="Times New Roman" w:eastAsia="仿宋_GB2312" w:cs="Times New Roman"/>
          <w:color w:val="auto"/>
          <w:kern w:val="0"/>
          <w:sz w:val="32"/>
          <w:szCs w:val="32"/>
          <w:highlight w:val="none"/>
          <w:lang w:eastAsia="zh-CN"/>
        </w:rPr>
        <w:t>同时废止。</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eastAsia" w:ascii="Times New Roman" w:hAnsi="Times New Roman" w:eastAsia="仿宋_GB2312" w:cs="Times New Roman"/>
          <w:color w:val="auto"/>
          <w:kern w:val="0"/>
          <w:sz w:val="32"/>
          <w:szCs w:val="32"/>
          <w:highlight w:val="none"/>
          <w:lang w:eastAsia="zh-CN"/>
        </w:rPr>
      </w:pPr>
    </w:p>
    <w:p>
      <w:pPr>
        <w:keepNext w:val="0"/>
        <w:keepLines w:val="0"/>
        <w:pageBreakBefore w:val="0"/>
        <w:widowControl w:val="0"/>
        <w:kinsoku/>
        <w:wordWrap/>
        <w:overflowPunct/>
        <w:topLinePunct w:val="0"/>
        <w:autoSpaceDE w:val="0"/>
        <w:autoSpaceDN w:val="0"/>
        <w:bidi w:val="0"/>
        <w:adjustRightInd w:val="0"/>
        <w:snapToGrid/>
        <w:spacing w:line="560" w:lineRule="exact"/>
        <w:ind w:firstLine="595" w:firstLineChars="186"/>
        <w:textAlignment w:val="auto"/>
        <w:rPr>
          <w:rFonts w:hint="default" w:ascii="Times New Roman" w:hAnsi="Times New Roman" w:eastAsia="仿宋_GB2312" w:cs="Times New Roman"/>
          <w:color w:val="auto"/>
          <w:kern w:val="0"/>
          <w:sz w:val="32"/>
          <w:szCs w:val="32"/>
          <w:highlight w:val="none"/>
          <w:lang w:val="en-US" w:eastAsia="zh-CN"/>
        </w:rPr>
      </w:pPr>
      <w:r>
        <w:rPr>
          <w:rFonts w:hint="eastAsia" w:ascii="Times New Roman" w:hAnsi="Times New Roman" w:eastAsia="仿宋_GB2312" w:cs="Times New Roman"/>
          <w:color w:val="auto"/>
          <w:kern w:val="0"/>
          <w:sz w:val="32"/>
          <w:szCs w:val="32"/>
          <w:highlight w:val="none"/>
          <w:lang w:val="en-US" w:eastAsia="zh-CN"/>
        </w:rPr>
        <w:t>附件：1.附表1-5</w:t>
      </w:r>
    </w:p>
    <w:p>
      <w:pPr>
        <w:pStyle w:val="9"/>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Times New Roman" w:hAnsi="Times New Roman" w:eastAsia="仿宋_GB2312" w:cs="Times New Roman"/>
          <w:color w:val="auto"/>
          <w:kern w:val="0"/>
          <w:sz w:val="32"/>
          <w:szCs w:val="32"/>
          <w:highlight w:val="none"/>
          <w:lang w:val="en-US" w:eastAsia="zh-CN"/>
        </w:rPr>
        <w:t xml:space="preserve">      2.成品油零售经营批准证书（模版）</w:t>
      </w:r>
    </w:p>
    <w:p>
      <w:pPr>
        <w:keepNext w:val="0"/>
        <w:keepLines w:val="0"/>
        <w:pageBreakBefore w:val="0"/>
        <w:widowControl w:val="0"/>
        <w:kinsoku/>
        <w:wordWrap/>
        <w:overflowPunct/>
        <w:topLinePunct w:val="0"/>
        <w:autoSpaceDE/>
        <w:autoSpaceDN/>
        <w:bidi w:val="0"/>
        <w:adjustRightInd/>
        <w:snapToGrid w:val="0"/>
        <w:spacing w:beforeAutospacing="0" w:afterAutospacing="0"/>
        <w:ind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pStyle w:val="12"/>
        <w:keepNext w:val="0"/>
        <w:keepLines w:val="0"/>
        <w:pageBreakBefore w:val="0"/>
        <w:widowControl w:val="0"/>
        <w:kinsoku/>
        <w:wordWrap/>
        <w:overflowPunct/>
        <w:topLinePunct w:val="0"/>
        <w:autoSpaceDE/>
        <w:autoSpaceDN/>
        <w:bidi w:val="0"/>
        <w:adjustRightInd/>
        <w:snapToGrid/>
        <w:spacing w:before="0" w:after="240" w:line="560" w:lineRule="exact"/>
        <w:jc w:val="both"/>
        <w:textAlignment w:val="auto"/>
        <w:rPr>
          <w:rFonts w:hint="eastAsia" w:ascii="方正仿宋_GB2312" w:hAnsi="方正仿宋_GB2312" w:eastAsia="方正仿宋_GB2312" w:cs="方正仿宋_GB2312"/>
          <w:b w:val="0"/>
          <w:bCs w:val="0"/>
          <w:color w:val="auto"/>
          <w:kern w:val="0"/>
          <w:sz w:val="28"/>
          <w:szCs w:val="28"/>
          <w:lang w:val="en-US" w:eastAsia="zh-CN"/>
        </w:rPr>
      </w:pPr>
      <w:bookmarkStart w:id="0" w:name="_Toc162162544"/>
      <w:r>
        <w:rPr>
          <w:rFonts w:hint="eastAsia" w:ascii="方正仿宋_GB2312" w:hAnsi="方正仿宋_GB2312" w:eastAsia="方正仿宋_GB2312" w:cs="方正仿宋_GB2312"/>
          <w:b w:val="0"/>
          <w:bCs w:val="0"/>
          <w:color w:val="auto"/>
          <w:kern w:val="0"/>
          <w:sz w:val="28"/>
          <w:szCs w:val="28"/>
          <w:lang w:val="en-US" w:eastAsia="zh-CN"/>
        </w:rPr>
        <w:t>附表1</w:t>
      </w:r>
    </w:p>
    <w:p>
      <w:pPr>
        <w:pStyle w:val="12"/>
        <w:spacing w:before="0" w:after="240"/>
        <w:rPr>
          <w:rFonts w:hint="eastAsia" w:ascii="方正小标宋简体" w:hAnsi="方正小标宋简体" w:eastAsia="方正小标宋简体" w:cs="方正小标宋简体"/>
          <w:b w:val="0"/>
          <w:bCs w:val="0"/>
          <w:color w:val="auto"/>
          <w:kern w:val="0"/>
          <w:sz w:val="36"/>
        </w:rPr>
      </w:pPr>
      <w:r>
        <w:rPr>
          <w:rFonts w:hint="eastAsia" w:ascii="方正小标宋简体" w:hAnsi="方正小标宋简体" w:eastAsia="方正小标宋简体" w:cs="方正小标宋简体"/>
          <w:b w:val="0"/>
          <w:bCs w:val="0"/>
          <w:color w:val="auto"/>
          <w:kern w:val="0"/>
          <w:sz w:val="44"/>
          <w:szCs w:val="44"/>
        </w:rPr>
        <w:t>贵州省成品油零售经营资格申请表</w:t>
      </w:r>
      <w:bookmarkEnd w:id="0"/>
    </w:p>
    <w:p>
      <w:pPr>
        <w:widowControl/>
        <w:ind w:left="93" w:firstLine="489" w:firstLineChars="204"/>
        <w:jc w:val="center"/>
        <w:rPr>
          <w:rFonts w:hint="eastAsia" w:ascii="仿宋_GB2312" w:eastAsia="仿宋_GB2312" w:cs="宋体"/>
          <w:color w:val="auto"/>
          <w:kern w:val="0"/>
          <w:sz w:val="24"/>
        </w:rPr>
      </w:pPr>
      <w:r>
        <w:rPr>
          <w:rFonts w:hint="eastAsia" w:ascii="仿宋_GB2312" w:eastAsia="仿宋_GB2312" w:cs="宋体"/>
          <w:color w:val="auto"/>
          <w:kern w:val="0"/>
          <w:sz w:val="24"/>
        </w:rPr>
        <w:t xml:space="preserve">                                    填报日期：      年 </w:t>
      </w:r>
      <w:r>
        <w:rPr>
          <w:rFonts w:hint="eastAsia" w:ascii="仿宋_GB2312" w:eastAsia="仿宋_GB2312" w:cs="宋体"/>
          <w:color w:val="auto"/>
          <w:kern w:val="0"/>
          <w:sz w:val="24"/>
          <w:lang w:val="en-US" w:eastAsia="zh-CN"/>
        </w:rPr>
        <w:t xml:space="preserve">  </w:t>
      </w:r>
      <w:r>
        <w:rPr>
          <w:rFonts w:hint="eastAsia" w:ascii="仿宋_GB2312" w:eastAsia="仿宋_GB2312" w:cs="宋体"/>
          <w:color w:val="auto"/>
          <w:kern w:val="0"/>
          <w:sz w:val="24"/>
        </w:rPr>
        <w:t xml:space="preserve">  月 </w:t>
      </w:r>
      <w:r>
        <w:rPr>
          <w:rFonts w:hint="eastAsia" w:ascii="仿宋_GB2312" w:eastAsia="仿宋_GB2312" w:cs="宋体"/>
          <w:color w:val="auto"/>
          <w:kern w:val="0"/>
          <w:sz w:val="24"/>
          <w:lang w:val="en-US" w:eastAsia="zh-CN"/>
        </w:rPr>
        <w:t xml:space="preserve">  </w:t>
      </w:r>
      <w:r>
        <w:rPr>
          <w:rFonts w:hint="eastAsia" w:ascii="仿宋_GB2312" w:eastAsia="仿宋_GB2312" w:cs="宋体"/>
          <w:color w:val="auto"/>
          <w:kern w:val="0"/>
          <w:sz w:val="24"/>
        </w:rPr>
        <w:t xml:space="preserve">  日</w:t>
      </w:r>
    </w:p>
    <w:tbl>
      <w:tblPr>
        <w:tblStyle w:val="14"/>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477"/>
        <w:gridCol w:w="1116"/>
        <w:gridCol w:w="1436"/>
        <w:gridCol w:w="1275"/>
        <w:gridCol w:w="1703"/>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17" w:type="dxa"/>
            <w:gridSpan w:val="2"/>
            <w:noWrap w:val="0"/>
            <w:vAlign w:val="center"/>
          </w:tcPr>
          <w:p>
            <w:pPr>
              <w:pStyle w:val="11"/>
              <w:spacing w:before="0" w:beforeAutospacing="0" w:after="0" w:afterAutospacing="0"/>
              <w:ind w:firstLine="2"/>
              <w:jc w:val="center"/>
              <w:rPr>
                <w:rFonts w:hint="eastAsia" w:ascii="仿宋_GB2312" w:hAnsi="仿宋" w:eastAsia="仿宋_GB2312"/>
                <w:color w:val="auto"/>
              </w:rPr>
            </w:pPr>
            <w:r>
              <w:rPr>
                <w:rFonts w:hint="eastAsia" w:ascii="仿宋_GB2312" w:hAnsi="仿宋" w:eastAsia="仿宋_GB2312"/>
                <w:color w:val="auto"/>
              </w:rPr>
              <w:t>申请企业      （盖章）</w:t>
            </w:r>
          </w:p>
        </w:tc>
        <w:tc>
          <w:tcPr>
            <w:tcW w:w="3827" w:type="dxa"/>
            <w:gridSpan w:val="3"/>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c>
          <w:tcPr>
            <w:tcW w:w="1703" w:type="dxa"/>
            <w:noWrap w:val="0"/>
            <w:vAlign w:val="center"/>
          </w:tcPr>
          <w:p>
            <w:pPr>
              <w:pStyle w:val="11"/>
              <w:spacing w:before="0" w:beforeAutospacing="0" w:after="0" w:afterAutospacing="0"/>
              <w:ind w:left="-113" w:leftChars="-54" w:right="-111" w:rightChars="-53"/>
              <w:jc w:val="center"/>
              <w:rPr>
                <w:rFonts w:hint="eastAsia" w:ascii="仿宋_GB2312" w:hAnsi="仿宋" w:eastAsia="仿宋_GB2312"/>
                <w:color w:val="auto"/>
              </w:rPr>
            </w:pPr>
            <w:r>
              <w:rPr>
                <w:rFonts w:hint="eastAsia" w:ascii="仿宋_GB2312" w:hAnsi="仿宋" w:eastAsia="仿宋_GB2312"/>
                <w:color w:val="auto"/>
              </w:rPr>
              <w:t>法定代表人</w:t>
            </w:r>
          </w:p>
          <w:p>
            <w:pPr>
              <w:pStyle w:val="11"/>
              <w:spacing w:before="0" w:beforeAutospacing="0" w:after="0" w:afterAutospacing="0"/>
              <w:ind w:left="-113" w:leftChars="-54" w:right="-111" w:rightChars="-53" w:firstLine="120" w:firstLineChars="50"/>
              <w:jc w:val="center"/>
              <w:rPr>
                <w:rFonts w:hint="eastAsia" w:ascii="仿宋_GB2312" w:hAnsi="仿宋" w:eastAsia="仿宋_GB2312"/>
                <w:color w:val="auto"/>
              </w:rPr>
            </w:pPr>
            <w:r>
              <w:rPr>
                <w:rFonts w:hint="eastAsia" w:ascii="仿宋_GB2312" w:hAnsi="仿宋" w:eastAsia="仿宋_GB2312"/>
                <w:color w:val="auto"/>
              </w:rPr>
              <w:t>(负责人)签字</w:t>
            </w:r>
          </w:p>
        </w:tc>
        <w:tc>
          <w:tcPr>
            <w:tcW w:w="1492" w:type="dxa"/>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17" w:type="dxa"/>
            <w:gridSpan w:val="2"/>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加油站名称</w:t>
            </w:r>
          </w:p>
        </w:tc>
        <w:tc>
          <w:tcPr>
            <w:tcW w:w="7022" w:type="dxa"/>
            <w:gridSpan w:val="5"/>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17" w:type="dxa"/>
            <w:gridSpan w:val="2"/>
            <w:noWrap w:val="0"/>
            <w:vAlign w:val="center"/>
          </w:tcPr>
          <w:p>
            <w:pPr>
              <w:pStyle w:val="11"/>
              <w:spacing w:before="0" w:beforeAutospacing="0" w:after="0" w:afterAutospacing="0"/>
              <w:ind w:firstLine="2"/>
              <w:jc w:val="center"/>
              <w:rPr>
                <w:rFonts w:hint="eastAsia" w:ascii="仿宋_GB2312" w:hAnsi="仿宋" w:eastAsia="仿宋_GB2312"/>
                <w:color w:val="auto"/>
              </w:rPr>
            </w:pPr>
            <w:r>
              <w:rPr>
                <w:rFonts w:hint="eastAsia" w:ascii="仿宋_GB2312" w:hAnsi="仿宋" w:eastAsia="仿宋_GB2312"/>
                <w:color w:val="auto"/>
              </w:rPr>
              <w:t>加油站地址</w:t>
            </w:r>
          </w:p>
        </w:tc>
        <w:tc>
          <w:tcPr>
            <w:tcW w:w="7022" w:type="dxa"/>
            <w:gridSpan w:val="5"/>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17" w:type="dxa"/>
            <w:gridSpan w:val="2"/>
            <w:noWrap w:val="0"/>
            <w:vAlign w:val="center"/>
          </w:tcPr>
          <w:p>
            <w:pPr>
              <w:spacing w:line="320" w:lineRule="exact"/>
              <w:ind w:firstLine="2"/>
              <w:jc w:val="center"/>
              <w:rPr>
                <w:rFonts w:hint="eastAsia" w:ascii="仿宋_GB2312" w:hAnsi="仿宋" w:eastAsia="仿宋_GB2312"/>
                <w:color w:val="auto"/>
                <w:sz w:val="24"/>
              </w:rPr>
            </w:pPr>
            <w:r>
              <w:rPr>
                <w:rFonts w:hint="eastAsia" w:ascii="仿宋_GB2312" w:hAnsi="仿宋" w:eastAsia="仿宋_GB2312"/>
                <w:color w:val="auto"/>
                <w:sz w:val="24"/>
              </w:rPr>
              <w:t>经济类型</w:t>
            </w:r>
          </w:p>
        </w:tc>
        <w:tc>
          <w:tcPr>
            <w:tcW w:w="7022" w:type="dxa"/>
            <w:gridSpan w:val="5"/>
            <w:noWrap w:val="0"/>
            <w:vAlign w:val="center"/>
          </w:tcPr>
          <w:p>
            <w:pPr>
              <w:spacing w:line="320" w:lineRule="exact"/>
              <w:jc w:val="center"/>
              <w:rPr>
                <w:rFonts w:hint="eastAsia" w:ascii="仿宋_GB2312" w:hAnsi="仿宋" w:eastAsia="仿宋_GB2312"/>
                <w:color w:val="auto"/>
                <w:sz w:val="24"/>
              </w:rPr>
            </w:pPr>
            <w:r>
              <w:rPr>
                <w:rFonts w:hint="eastAsia" w:ascii="仿宋_GB2312" w:hAnsi="仿宋" w:eastAsia="仿宋_GB2312"/>
                <w:color w:val="auto"/>
                <w:sz w:val="24"/>
              </w:rPr>
              <w:t>□国有企业/□国有参股/□民营企业/□外资企业/□合资企业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17" w:type="dxa"/>
            <w:gridSpan w:val="2"/>
            <w:noWrap w:val="0"/>
            <w:vAlign w:val="center"/>
          </w:tcPr>
          <w:p>
            <w:pPr>
              <w:pStyle w:val="11"/>
              <w:spacing w:before="0" w:beforeAutospacing="0" w:after="0" w:afterAutospacing="0"/>
              <w:ind w:right="-107" w:rightChars="-51" w:firstLine="2"/>
              <w:jc w:val="center"/>
              <w:rPr>
                <w:rFonts w:hint="eastAsia" w:ascii="仿宋_GB2312" w:hAnsi="仿宋" w:eastAsia="仿宋_GB2312"/>
                <w:color w:val="auto"/>
              </w:rPr>
            </w:pPr>
            <w:r>
              <w:rPr>
                <w:rFonts w:hint="eastAsia" w:ascii="仿宋_GB2312" w:hAnsi="仿宋" w:eastAsia="仿宋_GB2312"/>
                <w:color w:val="auto"/>
              </w:rPr>
              <w:t>经营方式</w:t>
            </w:r>
          </w:p>
        </w:tc>
        <w:tc>
          <w:tcPr>
            <w:tcW w:w="7022" w:type="dxa"/>
            <w:gridSpan w:val="5"/>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w:t>
            </w:r>
            <w:r>
              <w:rPr>
                <w:rFonts w:hint="eastAsia" w:ascii="仿宋_GB2312" w:hAnsi="仿宋" w:eastAsia="仿宋_GB2312"/>
                <w:color w:val="auto"/>
                <w:kern w:val="2"/>
              </w:rPr>
              <w:t>自有自营　　　□租赁经营　　□特许加盟　　□委托管理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17" w:type="dxa"/>
            <w:gridSpan w:val="2"/>
            <w:noWrap w:val="0"/>
            <w:vAlign w:val="center"/>
          </w:tcPr>
          <w:p>
            <w:pPr>
              <w:pStyle w:val="11"/>
              <w:spacing w:before="0" w:beforeAutospacing="0" w:after="0" w:afterAutospacing="0"/>
              <w:ind w:firstLine="2"/>
              <w:jc w:val="center"/>
              <w:rPr>
                <w:rFonts w:hint="eastAsia" w:ascii="仿宋_GB2312" w:hAnsi="仿宋" w:eastAsia="仿宋_GB2312"/>
                <w:color w:val="auto"/>
              </w:rPr>
            </w:pPr>
            <w:r>
              <w:rPr>
                <w:rFonts w:hint="eastAsia" w:ascii="仿宋_GB2312" w:hAnsi="仿宋" w:eastAsia="仿宋_GB2312"/>
                <w:color w:val="auto"/>
              </w:rPr>
              <w:t>出租方</w:t>
            </w:r>
            <w:r>
              <w:rPr>
                <w:rFonts w:hint="eastAsia" w:ascii="仿宋_GB2312" w:hAnsi="仿宋" w:eastAsia="仿宋_GB2312"/>
                <w:color w:val="auto"/>
                <w:lang w:val="en-US" w:eastAsia="zh-CN"/>
              </w:rPr>
              <w:t>/</w:t>
            </w:r>
            <w:r>
              <w:rPr>
                <w:rFonts w:hint="eastAsia" w:ascii="仿宋_GB2312" w:hAnsi="仿宋" w:eastAsia="仿宋_GB2312"/>
                <w:color w:val="auto"/>
              </w:rPr>
              <w:t>特许方</w:t>
            </w:r>
            <w:r>
              <w:rPr>
                <w:rFonts w:hint="eastAsia" w:ascii="仿宋_GB2312" w:hAnsi="仿宋" w:eastAsia="仿宋_GB2312"/>
                <w:color w:val="auto"/>
                <w:lang w:val="en-US" w:eastAsia="zh-CN"/>
              </w:rPr>
              <w:t>/委托方</w:t>
            </w:r>
            <w:r>
              <w:rPr>
                <w:rFonts w:hint="eastAsia" w:ascii="仿宋_GB2312" w:hAnsi="仿宋" w:eastAsia="仿宋_GB2312"/>
                <w:color w:val="auto"/>
              </w:rPr>
              <w:t>企业名称</w:t>
            </w:r>
          </w:p>
        </w:tc>
        <w:tc>
          <w:tcPr>
            <w:tcW w:w="3827" w:type="dxa"/>
            <w:gridSpan w:val="3"/>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c>
          <w:tcPr>
            <w:tcW w:w="1703" w:type="dxa"/>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租赁</w:t>
            </w:r>
            <w:r>
              <w:rPr>
                <w:rFonts w:hint="eastAsia" w:ascii="仿宋_GB2312" w:hAnsi="仿宋" w:eastAsia="仿宋_GB2312"/>
                <w:color w:val="auto"/>
                <w:lang w:val="en-US" w:eastAsia="zh-CN"/>
              </w:rPr>
              <w:t>/</w:t>
            </w:r>
            <w:r>
              <w:rPr>
                <w:rFonts w:hint="eastAsia" w:ascii="仿宋_GB2312" w:hAnsi="仿宋" w:eastAsia="仿宋_GB2312"/>
                <w:color w:val="auto"/>
              </w:rPr>
              <w:t>特许</w:t>
            </w:r>
            <w:r>
              <w:rPr>
                <w:rFonts w:hint="eastAsia" w:ascii="仿宋_GB2312" w:hAnsi="仿宋" w:eastAsia="仿宋_GB2312"/>
                <w:color w:val="auto"/>
                <w:lang w:val="en-US" w:eastAsia="zh-CN"/>
              </w:rPr>
              <w:t>/委托管理</w:t>
            </w:r>
            <w:r>
              <w:rPr>
                <w:rFonts w:hint="eastAsia" w:ascii="仿宋_GB2312" w:hAnsi="仿宋" w:eastAsia="仿宋_GB2312"/>
                <w:color w:val="auto"/>
              </w:rPr>
              <w:t>期限</w:t>
            </w:r>
          </w:p>
        </w:tc>
        <w:tc>
          <w:tcPr>
            <w:tcW w:w="1492" w:type="dxa"/>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17" w:type="dxa"/>
            <w:gridSpan w:val="2"/>
            <w:noWrap w:val="0"/>
            <w:vAlign w:val="center"/>
          </w:tcPr>
          <w:p>
            <w:pPr>
              <w:pStyle w:val="11"/>
              <w:spacing w:before="0" w:beforeAutospacing="0" w:after="0" w:afterAutospacing="0"/>
              <w:ind w:right="-107" w:rightChars="-51" w:firstLine="2"/>
              <w:jc w:val="center"/>
              <w:rPr>
                <w:rFonts w:hint="eastAsia" w:ascii="仿宋_GB2312" w:hAnsi="仿宋" w:eastAsia="仿宋_GB2312"/>
                <w:color w:val="auto"/>
              </w:rPr>
            </w:pPr>
            <w:r>
              <w:rPr>
                <w:rFonts w:hint="eastAsia" w:ascii="仿宋_GB2312" w:hAnsi="仿宋" w:eastAsia="仿宋_GB2312"/>
                <w:color w:val="auto"/>
              </w:rPr>
              <w:t>联系人</w:t>
            </w:r>
          </w:p>
        </w:tc>
        <w:tc>
          <w:tcPr>
            <w:tcW w:w="3827" w:type="dxa"/>
            <w:gridSpan w:val="3"/>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c>
          <w:tcPr>
            <w:tcW w:w="1703" w:type="dxa"/>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联系电话</w:t>
            </w:r>
          </w:p>
        </w:tc>
        <w:tc>
          <w:tcPr>
            <w:tcW w:w="1492" w:type="dxa"/>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40" w:type="dxa"/>
            <w:vMerge w:val="restart"/>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加油站及配套设施基本情况</w:t>
            </w:r>
          </w:p>
        </w:tc>
        <w:tc>
          <w:tcPr>
            <w:tcW w:w="1477" w:type="dxa"/>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占地面积</w:t>
            </w:r>
            <w:r>
              <w:rPr>
                <w:rFonts w:hint="eastAsia" w:ascii="仿宋_GB2312" w:hAnsi="Arial" w:eastAsia="仿宋" w:cs="Arial"/>
                <w:color w:val="auto"/>
              </w:rPr>
              <w:t>㎡</w:t>
            </w:r>
          </w:p>
        </w:tc>
        <w:tc>
          <w:tcPr>
            <w:tcW w:w="1116" w:type="dxa"/>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c>
          <w:tcPr>
            <w:tcW w:w="1436" w:type="dxa"/>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建筑面积</w:t>
            </w:r>
            <w:r>
              <w:rPr>
                <w:rFonts w:hint="eastAsia" w:ascii="仿宋_GB2312" w:hAnsi="Arial" w:eastAsia="仿宋" w:cs="Arial"/>
                <w:color w:val="auto"/>
              </w:rPr>
              <w:t>㎡</w:t>
            </w:r>
          </w:p>
        </w:tc>
        <w:tc>
          <w:tcPr>
            <w:tcW w:w="1275" w:type="dxa"/>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c>
          <w:tcPr>
            <w:tcW w:w="1703" w:type="dxa"/>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罩棚面积</w:t>
            </w:r>
            <w:r>
              <w:rPr>
                <w:rFonts w:hint="eastAsia" w:ascii="仿宋_GB2312" w:hAnsi="Arial" w:eastAsia="仿宋" w:cs="Arial"/>
                <w:color w:val="auto"/>
              </w:rPr>
              <w:t>㎡</w:t>
            </w:r>
          </w:p>
        </w:tc>
        <w:tc>
          <w:tcPr>
            <w:tcW w:w="1492" w:type="dxa"/>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40" w:type="dxa"/>
            <w:vMerge w:val="continue"/>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c>
          <w:tcPr>
            <w:tcW w:w="1477" w:type="dxa"/>
            <w:tcBorders>
              <w:bottom w:val="single" w:color="auto" w:sz="4" w:space="0"/>
            </w:tcBorders>
            <w:noWrap w:val="0"/>
            <w:vAlign w:val="center"/>
          </w:tcPr>
          <w:p>
            <w:pPr>
              <w:pStyle w:val="11"/>
              <w:spacing w:before="0" w:beforeAutospacing="0" w:after="0" w:afterAutospacing="0" w:line="440" w:lineRule="exact"/>
              <w:jc w:val="center"/>
              <w:rPr>
                <w:rFonts w:hint="eastAsia" w:ascii="仿宋_GB2312" w:hAnsi="仿宋" w:eastAsia="仿宋_GB2312"/>
                <w:color w:val="auto"/>
              </w:rPr>
            </w:pPr>
            <w:r>
              <w:rPr>
                <w:rFonts w:hint="eastAsia" w:ascii="仿宋_GB2312" w:hAnsi="仿宋" w:eastAsia="仿宋_GB2312"/>
                <w:color w:val="auto"/>
              </w:rPr>
              <w:t>位置类别</w:t>
            </w:r>
          </w:p>
        </w:tc>
        <w:tc>
          <w:tcPr>
            <w:tcW w:w="1116" w:type="dxa"/>
            <w:tcBorders>
              <w:bottom w:val="single" w:color="auto" w:sz="4" w:space="0"/>
            </w:tcBorders>
            <w:noWrap w:val="0"/>
            <w:vAlign w:val="center"/>
          </w:tcPr>
          <w:p>
            <w:pPr>
              <w:pStyle w:val="11"/>
              <w:spacing w:before="0" w:beforeAutospacing="0" w:after="0" w:afterAutospacing="0" w:line="440" w:lineRule="exact"/>
              <w:jc w:val="center"/>
              <w:rPr>
                <w:rFonts w:hint="eastAsia" w:ascii="仿宋_GB2312" w:hAnsi="仿宋" w:eastAsia="仿宋_GB2312"/>
                <w:color w:val="auto"/>
              </w:rPr>
            </w:pPr>
          </w:p>
        </w:tc>
        <w:tc>
          <w:tcPr>
            <w:tcW w:w="1436" w:type="dxa"/>
            <w:tcBorders>
              <w:bottom w:val="single" w:color="auto" w:sz="4" w:space="0"/>
            </w:tcBorders>
            <w:noWrap w:val="0"/>
            <w:vAlign w:val="center"/>
          </w:tcPr>
          <w:p>
            <w:pPr>
              <w:pStyle w:val="11"/>
              <w:spacing w:line="440" w:lineRule="exact"/>
              <w:jc w:val="center"/>
              <w:rPr>
                <w:rFonts w:hint="eastAsia" w:ascii="仿宋_GB2312" w:hAnsi="仿宋" w:eastAsia="仿宋_GB2312"/>
                <w:color w:val="auto"/>
              </w:rPr>
            </w:pPr>
            <w:r>
              <w:rPr>
                <w:rFonts w:hint="eastAsia" w:ascii="仿宋_GB2312" w:hAnsi="仿宋" w:eastAsia="仿宋_GB2312"/>
                <w:color w:val="auto"/>
              </w:rPr>
              <w:t>加油机</w:t>
            </w:r>
          </w:p>
        </w:tc>
        <w:tc>
          <w:tcPr>
            <w:tcW w:w="1275" w:type="dxa"/>
            <w:tcBorders>
              <w:bottom w:val="single" w:color="auto" w:sz="4" w:space="0"/>
            </w:tcBorders>
            <w:noWrap w:val="0"/>
            <w:vAlign w:val="center"/>
          </w:tcPr>
          <w:p>
            <w:pPr>
              <w:pStyle w:val="11"/>
              <w:spacing w:line="440" w:lineRule="exact"/>
              <w:ind w:left="444"/>
              <w:jc w:val="center"/>
              <w:rPr>
                <w:rFonts w:hint="eastAsia" w:ascii="仿宋_GB2312" w:hAnsi="仿宋" w:eastAsia="仿宋_GB2312"/>
                <w:color w:val="auto"/>
              </w:rPr>
            </w:pPr>
          </w:p>
        </w:tc>
        <w:tc>
          <w:tcPr>
            <w:tcW w:w="1703" w:type="dxa"/>
            <w:tcBorders>
              <w:bottom w:val="single" w:color="auto" w:sz="4" w:space="0"/>
            </w:tcBorders>
            <w:noWrap w:val="0"/>
            <w:vAlign w:val="center"/>
          </w:tcPr>
          <w:p>
            <w:pPr>
              <w:pStyle w:val="11"/>
              <w:spacing w:before="0" w:beforeAutospacing="0" w:after="0" w:afterAutospacing="0" w:line="440" w:lineRule="exact"/>
              <w:ind w:left="-2" w:leftChars="-1"/>
              <w:jc w:val="center"/>
              <w:rPr>
                <w:rFonts w:hint="eastAsia" w:ascii="仿宋_GB2312" w:hAnsi="仿宋" w:eastAsia="仿宋_GB2312"/>
                <w:color w:val="auto"/>
              </w:rPr>
            </w:pPr>
            <w:r>
              <w:rPr>
                <w:rFonts w:hint="eastAsia" w:ascii="仿宋_GB2312" w:hAnsi="仿宋" w:eastAsia="仿宋_GB2312"/>
                <w:color w:val="auto"/>
              </w:rPr>
              <w:t>加油枪</w:t>
            </w:r>
          </w:p>
        </w:tc>
        <w:tc>
          <w:tcPr>
            <w:tcW w:w="1492" w:type="dxa"/>
            <w:tcBorders>
              <w:bottom w:val="single" w:color="auto" w:sz="4" w:space="0"/>
            </w:tcBorders>
            <w:noWrap w:val="0"/>
            <w:vAlign w:val="center"/>
          </w:tcPr>
          <w:p>
            <w:pPr>
              <w:pStyle w:val="11"/>
              <w:spacing w:before="0" w:beforeAutospacing="0" w:after="0" w:afterAutospacing="0" w:line="440" w:lineRule="exact"/>
              <w:ind w:firstLine="489" w:firstLineChars="204"/>
              <w:jc w:val="center"/>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40" w:type="dxa"/>
            <w:vMerge w:val="continue"/>
            <w:noWrap w:val="0"/>
            <w:vAlign w:val="center"/>
          </w:tcPr>
          <w:p>
            <w:pPr>
              <w:pStyle w:val="11"/>
              <w:spacing w:before="0" w:beforeAutospacing="0" w:after="0" w:afterAutospacing="0"/>
              <w:ind w:firstLine="489" w:firstLineChars="204"/>
              <w:jc w:val="center"/>
              <w:rPr>
                <w:rFonts w:hint="eastAsia" w:ascii="仿宋_GB2312" w:hAnsi="仿宋" w:eastAsia="仿宋_GB2312"/>
                <w:color w:val="auto"/>
              </w:rPr>
            </w:pPr>
          </w:p>
        </w:tc>
        <w:tc>
          <w:tcPr>
            <w:tcW w:w="5304" w:type="dxa"/>
            <w:gridSpan w:val="4"/>
            <w:tcBorders>
              <w:bottom w:val="single" w:color="auto" w:sz="4" w:space="0"/>
            </w:tcBorders>
            <w:noWrap w:val="0"/>
            <w:vAlign w:val="center"/>
          </w:tcPr>
          <w:p>
            <w:pPr>
              <w:pStyle w:val="11"/>
              <w:spacing w:line="440" w:lineRule="exact"/>
              <w:ind w:left="444"/>
              <w:jc w:val="center"/>
              <w:rPr>
                <w:rFonts w:hint="eastAsia" w:ascii="仿宋_GB2312" w:hAnsi="仿宋" w:eastAsia="仿宋_GB2312"/>
                <w:color w:val="auto"/>
              </w:rPr>
            </w:pPr>
            <w:r>
              <w:rPr>
                <w:rFonts w:hint="eastAsia" w:ascii="仿宋_GB2312" w:hAnsi="仿宋" w:eastAsia="仿宋_GB2312"/>
                <w:color w:val="auto"/>
              </w:rPr>
              <w:t>与周边最近加油站车行距离（公里）</w:t>
            </w:r>
          </w:p>
        </w:tc>
        <w:tc>
          <w:tcPr>
            <w:tcW w:w="3195" w:type="dxa"/>
            <w:gridSpan w:val="2"/>
            <w:tcBorders>
              <w:bottom w:val="single" w:color="auto" w:sz="4" w:space="0"/>
            </w:tcBorders>
            <w:noWrap w:val="0"/>
            <w:vAlign w:val="center"/>
          </w:tcPr>
          <w:p>
            <w:pPr>
              <w:pStyle w:val="11"/>
              <w:spacing w:before="0" w:beforeAutospacing="0" w:after="0" w:afterAutospacing="0" w:line="440" w:lineRule="exact"/>
              <w:ind w:firstLine="489" w:firstLineChars="204"/>
              <w:jc w:val="center"/>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40" w:type="dxa"/>
            <w:vMerge w:val="continue"/>
            <w:noWrap w:val="0"/>
            <w:vAlign w:val="center"/>
          </w:tcPr>
          <w:p>
            <w:pPr>
              <w:spacing w:line="280" w:lineRule="exact"/>
              <w:ind w:firstLine="489" w:firstLineChars="204"/>
              <w:jc w:val="center"/>
              <w:rPr>
                <w:rFonts w:hint="eastAsia" w:ascii="仿宋_GB2312" w:hAnsi="仿宋" w:eastAsia="仿宋_GB2312"/>
                <w:color w:val="auto"/>
                <w:sz w:val="24"/>
              </w:rPr>
            </w:pPr>
          </w:p>
        </w:tc>
        <w:tc>
          <w:tcPr>
            <w:tcW w:w="2593" w:type="dxa"/>
            <w:gridSpan w:val="2"/>
            <w:tcBorders>
              <w:bottom w:val="single" w:color="auto" w:sz="4" w:space="0"/>
            </w:tcBorders>
            <w:noWrap w:val="0"/>
            <w:vAlign w:val="center"/>
          </w:tcPr>
          <w:p>
            <w:pPr>
              <w:spacing w:line="440" w:lineRule="exact"/>
              <w:jc w:val="center"/>
              <w:rPr>
                <w:rFonts w:hint="eastAsia" w:ascii="仿宋_GB2312" w:hAnsi="仿宋" w:eastAsia="仿宋_GB2312"/>
                <w:color w:val="auto"/>
                <w:sz w:val="24"/>
              </w:rPr>
            </w:pPr>
            <w:r>
              <w:rPr>
                <w:rFonts w:hint="eastAsia" w:ascii="仿宋_GB2312" w:hAnsi="仿宋" w:eastAsia="仿宋_GB2312"/>
                <w:color w:val="auto"/>
                <w:sz w:val="24"/>
              </w:rPr>
              <w:t>汽油罐</w:t>
            </w:r>
          </w:p>
        </w:tc>
        <w:tc>
          <w:tcPr>
            <w:tcW w:w="2711" w:type="dxa"/>
            <w:gridSpan w:val="2"/>
            <w:tcBorders>
              <w:bottom w:val="single" w:color="auto" w:sz="4" w:space="0"/>
            </w:tcBorders>
            <w:noWrap w:val="0"/>
            <w:vAlign w:val="center"/>
          </w:tcPr>
          <w:p>
            <w:pPr>
              <w:spacing w:line="440" w:lineRule="exact"/>
              <w:jc w:val="center"/>
              <w:rPr>
                <w:rFonts w:hint="eastAsia" w:ascii="仿宋_GB2312" w:hAnsi="仿宋" w:eastAsia="仿宋_GB2312"/>
                <w:color w:val="auto"/>
                <w:sz w:val="24"/>
              </w:rPr>
            </w:pPr>
            <w:r>
              <w:rPr>
                <w:rFonts w:hint="eastAsia" w:ascii="仿宋_GB2312" w:hAnsi="仿宋" w:eastAsia="仿宋_GB2312"/>
                <w:color w:val="auto"/>
                <w:sz w:val="24"/>
              </w:rPr>
              <w:t>柴油罐</w:t>
            </w:r>
          </w:p>
        </w:tc>
        <w:tc>
          <w:tcPr>
            <w:tcW w:w="3195" w:type="dxa"/>
            <w:gridSpan w:val="2"/>
            <w:tcBorders>
              <w:bottom w:val="single" w:color="auto" w:sz="4" w:space="0"/>
            </w:tcBorders>
            <w:noWrap w:val="0"/>
            <w:vAlign w:val="center"/>
          </w:tcPr>
          <w:p>
            <w:pPr>
              <w:spacing w:line="440" w:lineRule="exact"/>
              <w:jc w:val="center"/>
              <w:rPr>
                <w:rFonts w:hint="eastAsia" w:ascii="仿宋_GB2312" w:hAnsi="仿宋" w:eastAsia="仿宋_GB2312"/>
                <w:color w:val="auto"/>
                <w:sz w:val="24"/>
              </w:rPr>
            </w:pPr>
            <w:r>
              <w:rPr>
                <w:rFonts w:hint="eastAsia" w:ascii="仿宋_GB2312" w:hAnsi="仿宋" w:eastAsia="仿宋_GB2312"/>
                <w:color w:val="auto"/>
                <w:sz w:val="24"/>
              </w:rPr>
              <w:t>煤油罐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40" w:type="dxa"/>
            <w:vMerge w:val="continue"/>
            <w:noWrap w:val="0"/>
            <w:vAlign w:val="center"/>
          </w:tcPr>
          <w:p>
            <w:pPr>
              <w:spacing w:line="280" w:lineRule="exact"/>
              <w:ind w:firstLine="489" w:firstLineChars="204"/>
              <w:jc w:val="center"/>
              <w:rPr>
                <w:rFonts w:hint="eastAsia" w:ascii="仿宋_GB2312" w:hAnsi="仿宋" w:eastAsia="仿宋_GB2312"/>
                <w:color w:val="auto"/>
                <w:sz w:val="24"/>
              </w:rPr>
            </w:pPr>
          </w:p>
        </w:tc>
        <w:tc>
          <w:tcPr>
            <w:tcW w:w="1477" w:type="dxa"/>
            <w:tcBorders>
              <w:bottom w:val="single" w:color="auto" w:sz="4" w:space="0"/>
            </w:tcBorders>
            <w:noWrap w:val="0"/>
            <w:vAlign w:val="center"/>
          </w:tcPr>
          <w:p>
            <w:pPr>
              <w:spacing w:line="280" w:lineRule="exact"/>
              <w:jc w:val="center"/>
              <w:rPr>
                <w:rFonts w:hint="eastAsia" w:ascii="仿宋_GB2312" w:hAnsi="仿宋" w:eastAsia="仿宋_GB2312"/>
                <w:color w:val="auto"/>
                <w:sz w:val="24"/>
              </w:rPr>
            </w:pPr>
            <w:r>
              <w:rPr>
                <w:rFonts w:hint="eastAsia" w:ascii="仿宋_GB2312" w:hAnsi="仿宋" w:eastAsia="仿宋_GB2312"/>
                <w:color w:val="auto"/>
                <w:sz w:val="24"/>
              </w:rPr>
              <w:t>个数</w:t>
            </w:r>
          </w:p>
        </w:tc>
        <w:tc>
          <w:tcPr>
            <w:tcW w:w="1116" w:type="dxa"/>
            <w:tcBorders>
              <w:bottom w:val="single" w:color="auto" w:sz="4" w:space="0"/>
            </w:tcBorders>
            <w:noWrap w:val="0"/>
            <w:vAlign w:val="center"/>
          </w:tcPr>
          <w:p>
            <w:pPr>
              <w:spacing w:line="280" w:lineRule="exact"/>
              <w:jc w:val="center"/>
              <w:rPr>
                <w:rFonts w:hint="eastAsia" w:ascii="仿宋_GB2312" w:hAnsi="仿宋" w:eastAsia="仿宋_GB2312"/>
                <w:color w:val="auto"/>
                <w:sz w:val="24"/>
              </w:rPr>
            </w:pPr>
            <w:r>
              <w:rPr>
                <w:rFonts w:hint="eastAsia" w:ascii="仿宋_GB2312" w:hAnsi="仿宋" w:eastAsia="仿宋_GB2312"/>
                <w:color w:val="auto"/>
                <w:sz w:val="24"/>
              </w:rPr>
              <w:t>总容量</w:t>
            </w:r>
          </w:p>
          <w:p>
            <w:pPr>
              <w:spacing w:line="280" w:lineRule="exact"/>
              <w:jc w:val="center"/>
              <w:rPr>
                <w:rFonts w:hint="eastAsia" w:ascii="仿宋_GB2312" w:hAnsi="仿宋" w:eastAsia="仿宋_GB2312"/>
                <w:color w:val="auto"/>
                <w:sz w:val="24"/>
              </w:rPr>
            </w:pPr>
            <w:r>
              <w:rPr>
                <w:rFonts w:hint="eastAsia" w:ascii="仿宋_GB2312" w:hAnsi="仿宋" w:eastAsia="仿宋_GB2312"/>
                <w:color w:val="auto"/>
                <w:sz w:val="24"/>
              </w:rPr>
              <w:t>(</w:t>
            </w:r>
            <w:r>
              <w:rPr>
                <w:rFonts w:hint="eastAsia" w:ascii="仿宋_GB2312" w:hAnsi="方正仿宋_GBK" w:eastAsia="方正仿宋_GBK" w:cs="方正仿宋_GBK"/>
                <w:color w:val="auto"/>
                <w:sz w:val="24"/>
              </w:rPr>
              <w:t>㎥</w:t>
            </w:r>
            <w:r>
              <w:rPr>
                <w:rFonts w:hint="eastAsia" w:ascii="仿宋_GB2312" w:hAnsi="仿宋" w:eastAsia="仿宋_GB2312"/>
                <w:color w:val="auto"/>
                <w:sz w:val="24"/>
              </w:rPr>
              <w:t>)</w:t>
            </w:r>
          </w:p>
        </w:tc>
        <w:tc>
          <w:tcPr>
            <w:tcW w:w="1436" w:type="dxa"/>
            <w:tcBorders>
              <w:bottom w:val="single" w:color="auto" w:sz="4" w:space="0"/>
            </w:tcBorders>
            <w:noWrap w:val="0"/>
            <w:vAlign w:val="center"/>
          </w:tcPr>
          <w:p>
            <w:pPr>
              <w:spacing w:line="280" w:lineRule="exact"/>
              <w:jc w:val="center"/>
              <w:rPr>
                <w:rFonts w:hint="eastAsia" w:ascii="仿宋_GB2312" w:hAnsi="仿宋" w:eastAsia="仿宋_GB2312"/>
                <w:color w:val="auto"/>
                <w:sz w:val="24"/>
              </w:rPr>
            </w:pPr>
            <w:r>
              <w:rPr>
                <w:rFonts w:hint="eastAsia" w:ascii="仿宋_GB2312" w:hAnsi="仿宋" w:eastAsia="仿宋_GB2312"/>
                <w:color w:val="auto"/>
                <w:sz w:val="24"/>
              </w:rPr>
              <w:t>个数</w:t>
            </w:r>
          </w:p>
        </w:tc>
        <w:tc>
          <w:tcPr>
            <w:tcW w:w="1275" w:type="dxa"/>
            <w:tcBorders>
              <w:bottom w:val="single" w:color="auto" w:sz="4" w:space="0"/>
            </w:tcBorders>
            <w:noWrap w:val="0"/>
            <w:vAlign w:val="center"/>
          </w:tcPr>
          <w:p>
            <w:pPr>
              <w:spacing w:line="280" w:lineRule="exact"/>
              <w:jc w:val="center"/>
              <w:rPr>
                <w:rFonts w:hint="eastAsia" w:ascii="仿宋_GB2312" w:hAnsi="仿宋" w:eastAsia="仿宋_GB2312"/>
                <w:color w:val="auto"/>
                <w:sz w:val="24"/>
              </w:rPr>
            </w:pPr>
            <w:r>
              <w:rPr>
                <w:rFonts w:hint="eastAsia" w:ascii="仿宋_GB2312" w:hAnsi="仿宋" w:eastAsia="仿宋_GB2312"/>
                <w:color w:val="auto"/>
                <w:sz w:val="24"/>
              </w:rPr>
              <w:t>总容量</w:t>
            </w:r>
          </w:p>
          <w:p>
            <w:pPr>
              <w:spacing w:line="280" w:lineRule="exact"/>
              <w:jc w:val="center"/>
              <w:rPr>
                <w:rFonts w:hint="eastAsia" w:ascii="仿宋_GB2312" w:hAnsi="仿宋" w:eastAsia="仿宋_GB2312"/>
                <w:color w:val="auto"/>
                <w:sz w:val="24"/>
              </w:rPr>
            </w:pPr>
            <w:r>
              <w:rPr>
                <w:rFonts w:hint="eastAsia" w:ascii="仿宋_GB2312" w:hAnsi="仿宋" w:eastAsia="仿宋_GB2312"/>
                <w:color w:val="auto"/>
                <w:sz w:val="24"/>
              </w:rPr>
              <w:t>(</w:t>
            </w:r>
            <w:r>
              <w:rPr>
                <w:rFonts w:hint="eastAsia" w:ascii="仿宋_GB2312" w:hAnsi="方正仿宋_GBK" w:eastAsia="方正仿宋_GBK" w:cs="方正仿宋_GBK"/>
                <w:color w:val="auto"/>
                <w:sz w:val="24"/>
              </w:rPr>
              <w:t>㎥</w:t>
            </w:r>
            <w:r>
              <w:rPr>
                <w:rFonts w:hint="eastAsia" w:ascii="仿宋_GB2312" w:hAnsi="仿宋" w:eastAsia="仿宋_GB2312"/>
                <w:color w:val="auto"/>
                <w:sz w:val="24"/>
              </w:rPr>
              <w:t>)</w:t>
            </w:r>
          </w:p>
        </w:tc>
        <w:tc>
          <w:tcPr>
            <w:tcW w:w="1703" w:type="dxa"/>
            <w:tcBorders>
              <w:bottom w:val="single" w:color="auto" w:sz="4" w:space="0"/>
            </w:tcBorders>
            <w:noWrap w:val="0"/>
            <w:vAlign w:val="center"/>
          </w:tcPr>
          <w:p>
            <w:pPr>
              <w:spacing w:line="280" w:lineRule="exact"/>
              <w:jc w:val="center"/>
              <w:rPr>
                <w:rFonts w:hint="eastAsia" w:ascii="仿宋_GB2312" w:hAnsi="仿宋" w:eastAsia="仿宋_GB2312"/>
                <w:color w:val="auto"/>
                <w:sz w:val="24"/>
              </w:rPr>
            </w:pPr>
            <w:r>
              <w:rPr>
                <w:rFonts w:hint="eastAsia" w:ascii="仿宋_GB2312" w:hAnsi="仿宋" w:eastAsia="仿宋_GB2312"/>
                <w:color w:val="auto"/>
                <w:sz w:val="24"/>
              </w:rPr>
              <w:t>个数</w:t>
            </w:r>
          </w:p>
        </w:tc>
        <w:tc>
          <w:tcPr>
            <w:tcW w:w="1492" w:type="dxa"/>
            <w:tcBorders>
              <w:bottom w:val="single" w:color="auto" w:sz="4" w:space="0"/>
            </w:tcBorders>
            <w:noWrap w:val="0"/>
            <w:vAlign w:val="center"/>
          </w:tcPr>
          <w:p>
            <w:pPr>
              <w:spacing w:line="280" w:lineRule="exact"/>
              <w:ind w:firstLine="120" w:firstLineChars="50"/>
              <w:jc w:val="center"/>
              <w:rPr>
                <w:rFonts w:hint="eastAsia" w:ascii="仿宋_GB2312" w:hAnsi="仿宋" w:eastAsia="仿宋_GB2312"/>
                <w:color w:val="auto"/>
                <w:sz w:val="24"/>
              </w:rPr>
            </w:pPr>
            <w:r>
              <w:rPr>
                <w:rFonts w:hint="eastAsia" w:ascii="仿宋_GB2312" w:hAnsi="仿宋" w:eastAsia="仿宋_GB2312"/>
                <w:color w:val="auto"/>
                <w:sz w:val="24"/>
              </w:rPr>
              <w:t>总容量</w:t>
            </w:r>
          </w:p>
          <w:p>
            <w:pPr>
              <w:spacing w:line="280" w:lineRule="exact"/>
              <w:ind w:firstLine="120" w:firstLineChars="50"/>
              <w:jc w:val="center"/>
              <w:rPr>
                <w:rFonts w:hint="eastAsia" w:ascii="仿宋_GB2312" w:hAnsi="仿宋" w:eastAsia="仿宋_GB2312"/>
                <w:color w:val="auto"/>
                <w:sz w:val="24"/>
              </w:rPr>
            </w:pPr>
            <w:r>
              <w:rPr>
                <w:rFonts w:hint="eastAsia" w:ascii="仿宋_GB2312" w:hAnsi="仿宋" w:eastAsia="仿宋_GB2312"/>
                <w:color w:val="auto"/>
                <w:sz w:val="24"/>
              </w:rPr>
              <w:t>(</w:t>
            </w:r>
            <w:r>
              <w:rPr>
                <w:rFonts w:hint="eastAsia" w:ascii="仿宋_GB2312" w:hAnsi="方正仿宋_GBK" w:eastAsia="方正仿宋_GBK" w:cs="方正仿宋_GBK"/>
                <w:color w:val="auto"/>
                <w:sz w:val="24"/>
              </w:rPr>
              <w:t>㎥</w:t>
            </w:r>
            <w:r>
              <w:rPr>
                <w:rFonts w:hint="eastAsia" w:ascii="仿宋_GB2312" w:hAnsi="仿宋" w:eastAsia="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40" w:type="dxa"/>
            <w:vMerge w:val="continue"/>
            <w:noWrap w:val="0"/>
            <w:vAlign w:val="center"/>
          </w:tcPr>
          <w:p>
            <w:pPr>
              <w:spacing w:line="280" w:lineRule="exact"/>
              <w:ind w:firstLine="489" w:firstLineChars="204"/>
              <w:jc w:val="center"/>
              <w:rPr>
                <w:rFonts w:hint="eastAsia" w:ascii="仿宋_GB2312" w:hAnsi="仿宋" w:eastAsia="仿宋_GB2312"/>
                <w:color w:val="auto"/>
                <w:sz w:val="24"/>
              </w:rPr>
            </w:pPr>
          </w:p>
        </w:tc>
        <w:tc>
          <w:tcPr>
            <w:tcW w:w="1477" w:type="dxa"/>
            <w:tcBorders>
              <w:bottom w:val="single" w:color="auto" w:sz="4" w:space="0"/>
            </w:tcBorders>
            <w:noWrap w:val="0"/>
            <w:vAlign w:val="center"/>
          </w:tcPr>
          <w:p>
            <w:pPr>
              <w:spacing w:line="280" w:lineRule="exact"/>
              <w:ind w:firstLine="240" w:firstLineChars="100"/>
              <w:rPr>
                <w:rFonts w:hint="eastAsia" w:ascii="仿宋_GB2312" w:hAnsi="仿宋" w:eastAsia="仿宋_GB2312"/>
                <w:color w:val="auto"/>
                <w:sz w:val="24"/>
              </w:rPr>
            </w:pPr>
          </w:p>
        </w:tc>
        <w:tc>
          <w:tcPr>
            <w:tcW w:w="1116" w:type="dxa"/>
            <w:tcBorders>
              <w:bottom w:val="single" w:color="auto" w:sz="4" w:space="0"/>
            </w:tcBorders>
            <w:noWrap w:val="0"/>
            <w:vAlign w:val="center"/>
          </w:tcPr>
          <w:p>
            <w:pPr>
              <w:spacing w:line="280" w:lineRule="exact"/>
              <w:jc w:val="center"/>
              <w:rPr>
                <w:rFonts w:hint="eastAsia" w:ascii="仿宋_GB2312" w:hAnsi="仿宋" w:eastAsia="仿宋_GB2312"/>
                <w:color w:val="auto"/>
                <w:sz w:val="24"/>
              </w:rPr>
            </w:pPr>
          </w:p>
        </w:tc>
        <w:tc>
          <w:tcPr>
            <w:tcW w:w="1436" w:type="dxa"/>
            <w:tcBorders>
              <w:bottom w:val="single" w:color="auto" w:sz="4" w:space="0"/>
            </w:tcBorders>
            <w:noWrap w:val="0"/>
            <w:vAlign w:val="center"/>
          </w:tcPr>
          <w:p>
            <w:pPr>
              <w:spacing w:line="280" w:lineRule="exact"/>
              <w:ind w:firstLine="360" w:firstLineChars="150"/>
              <w:rPr>
                <w:rFonts w:hint="eastAsia" w:ascii="仿宋_GB2312" w:hAnsi="仿宋" w:eastAsia="仿宋_GB2312"/>
                <w:color w:val="auto"/>
                <w:sz w:val="24"/>
              </w:rPr>
            </w:pPr>
          </w:p>
        </w:tc>
        <w:tc>
          <w:tcPr>
            <w:tcW w:w="1275" w:type="dxa"/>
            <w:tcBorders>
              <w:bottom w:val="single" w:color="auto" w:sz="4" w:space="0"/>
            </w:tcBorders>
            <w:noWrap w:val="0"/>
            <w:vAlign w:val="center"/>
          </w:tcPr>
          <w:p>
            <w:pPr>
              <w:spacing w:line="280" w:lineRule="exact"/>
              <w:jc w:val="center"/>
              <w:rPr>
                <w:rFonts w:hint="eastAsia" w:ascii="仿宋_GB2312" w:hAnsi="仿宋" w:eastAsia="仿宋_GB2312"/>
                <w:color w:val="auto"/>
                <w:sz w:val="24"/>
              </w:rPr>
            </w:pPr>
          </w:p>
        </w:tc>
        <w:tc>
          <w:tcPr>
            <w:tcW w:w="1703" w:type="dxa"/>
            <w:tcBorders>
              <w:bottom w:val="single" w:color="auto" w:sz="4" w:space="0"/>
            </w:tcBorders>
            <w:noWrap w:val="0"/>
            <w:vAlign w:val="center"/>
          </w:tcPr>
          <w:p>
            <w:pPr>
              <w:spacing w:line="280" w:lineRule="exact"/>
              <w:ind w:firstLine="360" w:firstLineChars="150"/>
              <w:rPr>
                <w:rFonts w:hint="eastAsia" w:ascii="仿宋_GB2312" w:hAnsi="仿宋" w:eastAsia="仿宋_GB2312"/>
                <w:color w:val="auto"/>
                <w:sz w:val="24"/>
              </w:rPr>
            </w:pPr>
          </w:p>
        </w:tc>
        <w:tc>
          <w:tcPr>
            <w:tcW w:w="1492" w:type="dxa"/>
            <w:tcBorders>
              <w:bottom w:val="single" w:color="auto" w:sz="4" w:space="0"/>
            </w:tcBorders>
            <w:noWrap w:val="0"/>
            <w:vAlign w:val="center"/>
          </w:tcPr>
          <w:p>
            <w:pPr>
              <w:spacing w:line="280" w:lineRule="exact"/>
              <w:ind w:firstLine="120" w:firstLineChars="50"/>
              <w:jc w:val="center"/>
              <w:rPr>
                <w:rFonts w:hint="eastAsia" w:ascii="仿宋_GB2312" w:hAnsi="仿宋"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0" w:hRule="atLeast"/>
          <w:jc w:val="center"/>
        </w:trPr>
        <w:tc>
          <w:tcPr>
            <w:tcW w:w="2217" w:type="dxa"/>
            <w:gridSpan w:val="2"/>
            <w:tcBorders>
              <w:top w:val="single" w:color="auto" w:sz="4" w:space="0"/>
            </w:tcBorders>
            <w:noWrap w:val="0"/>
            <w:vAlign w:val="center"/>
          </w:tcPr>
          <w:p>
            <w:pPr>
              <w:pStyle w:val="11"/>
              <w:spacing w:before="0" w:beforeAutospacing="0" w:after="0" w:afterAutospacing="0" w:line="440" w:lineRule="exact"/>
              <w:jc w:val="center"/>
              <w:rPr>
                <w:rFonts w:hint="eastAsia" w:ascii="仿宋_GB2312" w:hAnsi="仿宋" w:eastAsia="仿宋_GB2312"/>
                <w:color w:val="auto"/>
              </w:rPr>
            </w:pPr>
            <w:r>
              <w:rPr>
                <w:rFonts w:hint="eastAsia" w:ascii="仿宋_GB2312" w:hAnsi="仿宋" w:eastAsia="仿宋_GB2312"/>
                <w:color w:val="auto"/>
              </w:rPr>
              <w:t>企业</w:t>
            </w:r>
          </w:p>
          <w:p>
            <w:pPr>
              <w:pStyle w:val="11"/>
              <w:spacing w:before="0" w:beforeAutospacing="0" w:after="0" w:afterAutospacing="0" w:line="440" w:lineRule="exact"/>
              <w:jc w:val="center"/>
              <w:rPr>
                <w:rFonts w:hint="eastAsia" w:ascii="仿宋_GB2312" w:hAnsi="仿宋" w:eastAsia="仿宋_GB2312"/>
                <w:color w:val="auto"/>
              </w:rPr>
            </w:pPr>
            <w:r>
              <w:rPr>
                <w:rFonts w:hint="eastAsia" w:ascii="仿宋_GB2312" w:hAnsi="仿宋" w:eastAsia="仿宋_GB2312"/>
                <w:color w:val="auto"/>
              </w:rPr>
              <w:t>申报</w:t>
            </w:r>
          </w:p>
          <w:p>
            <w:pPr>
              <w:pStyle w:val="11"/>
              <w:spacing w:before="0" w:beforeAutospacing="0" w:after="0" w:afterAutospacing="0" w:line="440" w:lineRule="exact"/>
              <w:jc w:val="center"/>
              <w:rPr>
                <w:rFonts w:hint="eastAsia" w:ascii="仿宋_GB2312" w:hAnsi="仿宋" w:eastAsia="仿宋_GB2312"/>
                <w:color w:val="auto"/>
              </w:rPr>
            </w:pPr>
            <w:r>
              <w:rPr>
                <w:rFonts w:hint="eastAsia" w:ascii="仿宋_GB2312" w:hAnsi="仿宋" w:eastAsia="仿宋_GB2312"/>
                <w:color w:val="auto"/>
              </w:rPr>
              <w:t>说明</w:t>
            </w:r>
          </w:p>
        </w:tc>
        <w:tc>
          <w:tcPr>
            <w:tcW w:w="7022" w:type="dxa"/>
            <w:gridSpan w:val="5"/>
            <w:tcBorders>
              <w:top w:val="single" w:color="auto" w:sz="4" w:space="0"/>
            </w:tcBorders>
            <w:noWrap w:val="0"/>
            <w:vAlign w:val="top"/>
          </w:tcPr>
          <w:p>
            <w:pPr>
              <w:pStyle w:val="11"/>
              <w:spacing w:before="0" w:beforeAutospacing="0" w:after="0" w:afterAutospacing="0" w:line="440" w:lineRule="exact"/>
              <w:ind w:firstLine="489" w:firstLineChars="204"/>
              <w:rPr>
                <w:rFonts w:hint="eastAsia" w:ascii="仿宋_GB2312" w:hAnsi="仿宋" w:eastAsia="仿宋_GB2312"/>
                <w:color w:val="auto"/>
              </w:rPr>
            </w:pPr>
          </w:p>
          <w:p>
            <w:pPr>
              <w:pStyle w:val="11"/>
              <w:spacing w:before="0" w:beforeAutospacing="0" w:after="0" w:afterAutospacing="0" w:line="440" w:lineRule="exact"/>
              <w:rPr>
                <w:rFonts w:hint="eastAsia" w:ascii="仿宋_GB2312" w:hAnsi="仿宋" w:eastAsia="仿宋_GB2312"/>
                <w:color w:val="auto"/>
              </w:rPr>
            </w:pPr>
            <w:r>
              <w:rPr>
                <w:rFonts w:hint="eastAsia" w:ascii="仿宋_GB2312" w:hAnsi="仿宋" w:eastAsia="仿宋_GB2312"/>
                <w:color w:val="auto"/>
              </w:rPr>
              <w:t xml:space="preserve">                 </w:t>
            </w:r>
          </w:p>
          <w:p>
            <w:pPr>
              <w:pStyle w:val="11"/>
              <w:spacing w:before="0" w:beforeAutospacing="0" w:after="0" w:afterAutospacing="0" w:line="440" w:lineRule="exact"/>
              <w:rPr>
                <w:rFonts w:hint="eastAsia" w:ascii="仿宋_GB2312" w:hAnsi="仿宋" w:eastAsia="仿宋_GB2312"/>
                <w:color w:val="auto"/>
              </w:rPr>
            </w:pPr>
            <w:r>
              <w:rPr>
                <w:rFonts w:hint="eastAsia" w:ascii="仿宋_GB2312" w:hAnsi="仿宋" w:eastAsia="仿宋_GB2312"/>
                <w:color w:val="auto"/>
              </w:rPr>
              <w:t>法定代表人(负责人)签字</w:t>
            </w:r>
          </w:p>
          <w:p>
            <w:pPr>
              <w:pStyle w:val="11"/>
              <w:spacing w:before="0" w:beforeAutospacing="0" w:after="0" w:afterAutospacing="0" w:line="440" w:lineRule="exact"/>
              <w:ind w:firstLine="4800" w:firstLineChars="2000"/>
              <w:rPr>
                <w:rFonts w:hint="eastAsia" w:ascii="仿宋_GB2312" w:hAnsi="仿宋" w:eastAsia="仿宋_GB2312"/>
                <w:color w:val="auto"/>
              </w:rPr>
            </w:pPr>
            <w:r>
              <w:rPr>
                <w:rFonts w:hint="eastAsia" w:ascii="仿宋_GB2312" w:hAnsi="仿宋" w:eastAsia="仿宋_GB2312"/>
                <w:color w:val="auto"/>
              </w:rPr>
              <w:t>单位盖章</w:t>
            </w:r>
          </w:p>
          <w:p>
            <w:pPr>
              <w:pStyle w:val="11"/>
              <w:spacing w:before="0" w:beforeAutospacing="0" w:after="0" w:afterAutospacing="0" w:line="440" w:lineRule="exact"/>
              <w:rPr>
                <w:rFonts w:hint="eastAsia" w:ascii="仿宋_GB2312" w:hAnsi="仿宋" w:eastAsia="仿宋_GB2312"/>
                <w:color w:val="auto"/>
              </w:rPr>
            </w:pPr>
            <w:r>
              <w:rPr>
                <w:rFonts w:hint="eastAsia" w:ascii="仿宋_GB2312" w:hAnsi="仿宋" w:eastAsia="仿宋_GB2312"/>
                <w:color w:val="auto"/>
              </w:rPr>
              <w:t xml:space="preserve">                         </w:t>
            </w:r>
            <w:r>
              <w:rPr>
                <w:rFonts w:hint="eastAsia" w:ascii="仿宋_GB2312" w:hAnsi="仿宋" w:eastAsia="仿宋_GB2312"/>
                <w:color w:val="auto"/>
                <w:lang w:val="en-US" w:eastAsia="zh-CN"/>
              </w:rPr>
              <w:t xml:space="preserve">             </w:t>
            </w:r>
            <w:r>
              <w:rPr>
                <w:rFonts w:hint="eastAsia" w:ascii="仿宋_GB2312" w:hAnsi="仿宋" w:eastAsia="仿宋_GB2312"/>
                <w:color w:val="auto"/>
              </w:rPr>
              <w:t xml:space="preserve">年    月  </w:t>
            </w:r>
            <w:r>
              <w:rPr>
                <w:rFonts w:hint="eastAsia" w:ascii="仿宋_GB2312" w:hAnsi="仿宋" w:eastAsia="仿宋_GB2312"/>
                <w:color w:val="auto"/>
                <w:lang w:val="en-US" w:eastAsia="zh-CN"/>
              </w:rPr>
              <w:t xml:space="preserve"> </w:t>
            </w:r>
            <w:r>
              <w:rPr>
                <w:rFonts w:hint="eastAsia" w:ascii="仿宋_GB2312" w:hAnsi="仿宋" w:eastAsia="仿宋_GB2312"/>
                <w:color w:val="auto"/>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jc w:val="center"/>
        </w:trPr>
        <w:tc>
          <w:tcPr>
            <w:tcW w:w="2217" w:type="dxa"/>
            <w:gridSpan w:val="2"/>
            <w:noWrap w:val="0"/>
            <w:vAlign w:val="center"/>
          </w:tcPr>
          <w:p>
            <w:pPr>
              <w:pStyle w:val="11"/>
              <w:spacing w:before="0" w:beforeAutospacing="0" w:after="0" w:afterAutospacing="0" w:line="400" w:lineRule="exact"/>
              <w:jc w:val="center"/>
              <w:rPr>
                <w:rFonts w:hint="eastAsia" w:ascii="仿宋_GB2312" w:hAnsi="仿宋" w:eastAsia="仿宋_GB2312"/>
                <w:color w:val="auto"/>
              </w:rPr>
            </w:pPr>
            <w:r>
              <w:rPr>
                <w:rFonts w:hint="eastAsia" w:ascii="仿宋_GB2312" w:hAnsi="仿宋" w:eastAsia="仿宋_GB2312"/>
                <w:color w:val="auto"/>
              </w:rPr>
              <w:t>县级商务主管部门意见</w:t>
            </w:r>
          </w:p>
        </w:tc>
        <w:tc>
          <w:tcPr>
            <w:tcW w:w="7022" w:type="dxa"/>
            <w:gridSpan w:val="5"/>
            <w:noWrap w:val="0"/>
            <w:vAlign w:val="top"/>
          </w:tcPr>
          <w:p>
            <w:pPr>
              <w:pStyle w:val="11"/>
              <w:spacing w:before="0" w:beforeAutospacing="0" w:after="0" w:afterAutospacing="0" w:line="400" w:lineRule="exact"/>
              <w:ind w:firstLine="5409" w:firstLineChars="2254"/>
              <w:rPr>
                <w:rFonts w:hint="eastAsia" w:ascii="仿宋_GB2312" w:hAnsi="仿宋" w:eastAsia="仿宋_GB2312"/>
                <w:color w:val="auto"/>
              </w:rPr>
            </w:pPr>
            <w:r>
              <w:rPr>
                <w:rFonts w:hint="eastAsia" w:ascii="仿宋_GB2312" w:hAnsi="仿宋" w:eastAsia="仿宋_GB2312"/>
                <w:color w:val="auto"/>
              </w:rPr>
              <w:t xml:space="preserve"> </w:t>
            </w:r>
          </w:p>
          <w:p>
            <w:pPr>
              <w:pStyle w:val="11"/>
              <w:spacing w:before="0" w:beforeAutospacing="0" w:after="0" w:afterAutospacing="0" w:line="400" w:lineRule="exact"/>
              <w:ind w:firstLine="5409" w:firstLineChars="2254"/>
              <w:rPr>
                <w:rFonts w:hint="eastAsia" w:ascii="仿宋_GB2312" w:hAnsi="仿宋" w:eastAsia="仿宋_GB2312"/>
                <w:color w:val="auto"/>
              </w:rPr>
            </w:pPr>
          </w:p>
          <w:p>
            <w:pPr>
              <w:pStyle w:val="11"/>
              <w:spacing w:before="0" w:beforeAutospacing="0" w:after="0" w:afterAutospacing="0" w:line="400" w:lineRule="exact"/>
              <w:ind w:firstLine="5409" w:firstLineChars="2254"/>
              <w:rPr>
                <w:rFonts w:hint="eastAsia" w:ascii="仿宋_GB2312" w:hAnsi="仿宋" w:eastAsia="仿宋_GB2312"/>
                <w:color w:val="auto"/>
              </w:rPr>
            </w:pPr>
          </w:p>
          <w:p>
            <w:pPr>
              <w:pStyle w:val="11"/>
              <w:spacing w:before="0" w:beforeAutospacing="0" w:after="0" w:afterAutospacing="0" w:line="400" w:lineRule="exact"/>
              <w:ind w:firstLine="5409" w:firstLineChars="2254"/>
              <w:rPr>
                <w:rFonts w:hint="eastAsia" w:ascii="仿宋_GB2312" w:hAnsi="仿宋" w:eastAsia="仿宋_GB2312"/>
                <w:color w:val="auto"/>
              </w:rPr>
            </w:pPr>
          </w:p>
          <w:p>
            <w:pPr>
              <w:pStyle w:val="11"/>
              <w:spacing w:before="0" w:beforeAutospacing="0" w:after="0" w:afterAutospacing="0" w:line="400" w:lineRule="exact"/>
              <w:ind w:firstLine="4920" w:firstLineChars="2050"/>
              <w:rPr>
                <w:rFonts w:hint="eastAsia" w:ascii="仿宋_GB2312" w:hAnsi="仿宋" w:eastAsia="仿宋_GB2312"/>
                <w:color w:val="auto"/>
              </w:rPr>
            </w:pPr>
            <w:r>
              <w:rPr>
                <w:rFonts w:hint="eastAsia" w:ascii="仿宋_GB2312" w:hAnsi="仿宋" w:eastAsia="仿宋_GB2312"/>
                <w:color w:val="auto"/>
              </w:rPr>
              <w:t xml:space="preserve">年    月  </w:t>
            </w:r>
            <w:r>
              <w:rPr>
                <w:rFonts w:hint="eastAsia" w:ascii="仿宋_GB2312" w:hAnsi="仿宋" w:eastAsia="仿宋_GB2312"/>
                <w:color w:val="auto"/>
                <w:lang w:val="en-US" w:eastAsia="zh-CN"/>
              </w:rPr>
              <w:t xml:space="preserve"> </w:t>
            </w:r>
            <w:r>
              <w:rPr>
                <w:rFonts w:hint="eastAsia" w:ascii="仿宋_GB2312" w:hAnsi="仿宋" w:eastAsia="仿宋_GB2312"/>
                <w:color w:val="auto"/>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2217" w:type="dxa"/>
            <w:gridSpan w:val="2"/>
            <w:noWrap w:val="0"/>
            <w:vAlign w:val="center"/>
          </w:tcPr>
          <w:p>
            <w:pPr>
              <w:pStyle w:val="11"/>
              <w:spacing w:before="0" w:beforeAutospacing="0" w:after="0" w:afterAutospacing="0" w:line="400" w:lineRule="exact"/>
              <w:jc w:val="center"/>
              <w:rPr>
                <w:rFonts w:hint="eastAsia" w:ascii="仿宋_GB2312" w:hAnsi="仿宋" w:eastAsia="仿宋_GB2312"/>
                <w:color w:val="auto"/>
              </w:rPr>
            </w:pPr>
            <w:r>
              <w:rPr>
                <w:rFonts w:hint="eastAsia" w:ascii="仿宋_GB2312" w:hAnsi="仿宋" w:eastAsia="仿宋_GB2312"/>
                <w:color w:val="auto"/>
              </w:rPr>
              <w:t>市级商务主管部门意见</w:t>
            </w:r>
          </w:p>
        </w:tc>
        <w:tc>
          <w:tcPr>
            <w:tcW w:w="7022" w:type="dxa"/>
            <w:gridSpan w:val="5"/>
            <w:noWrap w:val="0"/>
            <w:vAlign w:val="top"/>
          </w:tcPr>
          <w:p>
            <w:pPr>
              <w:pStyle w:val="11"/>
              <w:spacing w:before="0" w:beforeAutospacing="0" w:after="0" w:afterAutospacing="0" w:line="400" w:lineRule="exact"/>
              <w:ind w:firstLine="5409" w:firstLineChars="2254"/>
              <w:rPr>
                <w:rFonts w:hint="eastAsia" w:ascii="仿宋_GB2312" w:hAnsi="仿宋" w:eastAsia="仿宋_GB2312"/>
                <w:color w:val="auto"/>
              </w:rPr>
            </w:pPr>
          </w:p>
          <w:p>
            <w:pPr>
              <w:pStyle w:val="11"/>
              <w:spacing w:before="0" w:beforeAutospacing="0" w:after="0" w:afterAutospacing="0" w:line="400" w:lineRule="exact"/>
              <w:ind w:firstLine="5409" w:firstLineChars="2254"/>
              <w:rPr>
                <w:rFonts w:hint="eastAsia" w:ascii="仿宋_GB2312" w:hAnsi="仿宋" w:eastAsia="仿宋_GB2312"/>
                <w:color w:val="auto"/>
              </w:rPr>
            </w:pPr>
          </w:p>
          <w:p>
            <w:pPr>
              <w:pStyle w:val="11"/>
              <w:spacing w:before="0" w:beforeAutospacing="0" w:after="0" w:afterAutospacing="0" w:line="400" w:lineRule="exact"/>
              <w:ind w:firstLine="5409" w:firstLineChars="2254"/>
              <w:rPr>
                <w:rFonts w:hint="eastAsia" w:ascii="仿宋_GB2312" w:hAnsi="仿宋" w:eastAsia="仿宋_GB2312"/>
                <w:color w:val="auto"/>
              </w:rPr>
            </w:pPr>
          </w:p>
          <w:p>
            <w:pPr>
              <w:pStyle w:val="11"/>
              <w:spacing w:before="0" w:beforeAutospacing="0" w:after="0" w:afterAutospacing="0" w:line="400" w:lineRule="exact"/>
              <w:ind w:firstLine="5409" w:firstLineChars="2254"/>
              <w:rPr>
                <w:rFonts w:hint="eastAsia" w:ascii="仿宋_GB2312" w:hAnsi="仿宋" w:eastAsia="仿宋_GB2312"/>
                <w:color w:val="auto"/>
              </w:rPr>
            </w:pPr>
          </w:p>
          <w:p>
            <w:pPr>
              <w:pStyle w:val="11"/>
              <w:spacing w:before="0" w:beforeAutospacing="0" w:after="0" w:afterAutospacing="0" w:line="400" w:lineRule="exact"/>
              <w:ind w:firstLine="4920" w:firstLineChars="2050"/>
              <w:rPr>
                <w:rFonts w:hint="eastAsia" w:ascii="仿宋_GB2312" w:hAnsi="仿宋" w:eastAsia="仿宋_GB2312"/>
                <w:color w:val="auto"/>
              </w:rPr>
            </w:pPr>
            <w:r>
              <w:rPr>
                <w:rFonts w:hint="eastAsia" w:ascii="仿宋_GB2312" w:hAnsi="仿宋" w:eastAsia="仿宋_GB2312"/>
                <w:color w:val="auto"/>
              </w:rPr>
              <w:t>年    月   日</w:t>
            </w:r>
          </w:p>
        </w:tc>
      </w:tr>
    </w:tbl>
    <w:p>
      <w:pPr>
        <w:widowControl/>
        <w:tabs>
          <w:tab w:val="left" w:pos="2593"/>
          <w:tab w:val="left" w:pos="4155"/>
        </w:tabs>
        <w:ind w:left="93" w:firstLine="489" w:firstLineChars="204"/>
        <w:jc w:val="left"/>
        <w:rPr>
          <w:rFonts w:cs="宋体"/>
          <w:color w:val="auto"/>
          <w:kern w:val="0"/>
          <w:sz w:val="24"/>
        </w:rPr>
      </w:pPr>
      <w:r>
        <w:rPr>
          <w:rFonts w:cs="宋体"/>
          <w:color w:val="auto"/>
          <w:kern w:val="0"/>
          <w:sz w:val="24"/>
        </w:rPr>
        <w:tab/>
      </w:r>
    </w:p>
    <w:p>
      <w:pPr>
        <w:pStyle w:val="12"/>
        <w:keepNext w:val="0"/>
        <w:keepLines w:val="0"/>
        <w:pageBreakBefore w:val="0"/>
        <w:widowControl w:val="0"/>
        <w:kinsoku/>
        <w:wordWrap/>
        <w:overflowPunct/>
        <w:topLinePunct w:val="0"/>
        <w:autoSpaceDE/>
        <w:autoSpaceDN/>
        <w:bidi w:val="0"/>
        <w:adjustRightInd/>
        <w:snapToGrid/>
        <w:spacing w:before="0" w:after="240" w:line="560" w:lineRule="exact"/>
        <w:jc w:val="both"/>
        <w:textAlignment w:val="auto"/>
        <w:rPr>
          <w:rFonts w:hint="eastAsia" w:ascii="方正仿宋_GB2312" w:hAnsi="方正仿宋_GB2312" w:eastAsia="方正仿宋_GB2312" w:cs="方正仿宋_GB2312"/>
          <w:b w:val="0"/>
          <w:bCs w:val="0"/>
          <w:color w:val="auto"/>
          <w:kern w:val="0"/>
          <w:sz w:val="28"/>
          <w:szCs w:val="28"/>
          <w:lang w:val="en-US" w:eastAsia="zh-CN"/>
        </w:rPr>
      </w:pPr>
      <w:bookmarkStart w:id="1" w:name="_Toc162162546"/>
      <w:r>
        <w:rPr>
          <w:rFonts w:hint="eastAsia" w:ascii="方正小标宋简体" w:eastAsia="方正小标宋简体"/>
          <w:color w:val="auto"/>
          <w:kern w:val="0"/>
          <w:sz w:val="44"/>
          <w:szCs w:val="44"/>
        </w:rPr>
        <w:br w:type="page"/>
      </w:r>
      <w:r>
        <w:rPr>
          <w:rFonts w:hint="eastAsia" w:ascii="方正仿宋_GB2312" w:hAnsi="方正仿宋_GB2312" w:eastAsia="方正仿宋_GB2312" w:cs="方正仿宋_GB2312"/>
          <w:b w:val="0"/>
          <w:bCs w:val="0"/>
          <w:color w:val="auto"/>
          <w:kern w:val="0"/>
          <w:sz w:val="28"/>
          <w:szCs w:val="28"/>
          <w:lang w:val="en-US" w:eastAsia="zh-CN"/>
        </w:rPr>
        <w:t>附表2</w:t>
      </w:r>
    </w:p>
    <w:p>
      <w:pPr>
        <w:widowControl/>
        <w:tabs>
          <w:tab w:val="left" w:pos="2593"/>
          <w:tab w:val="left" w:pos="3673"/>
          <w:tab w:val="left" w:pos="4753"/>
          <w:tab w:val="left" w:pos="5833"/>
          <w:tab w:val="left" w:pos="6913"/>
          <w:tab w:val="left" w:pos="7993"/>
        </w:tabs>
        <w:spacing w:line="560" w:lineRule="exact"/>
        <w:jc w:val="center"/>
        <w:rPr>
          <w:rFonts w:hint="eastAsia" w:ascii="方正小标宋简体" w:eastAsia="方正小标宋简体"/>
          <w:color w:val="auto"/>
          <w:kern w:val="0"/>
          <w:sz w:val="44"/>
          <w:szCs w:val="44"/>
        </w:rPr>
      </w:pPr>
      <w:r>
        <w:rPr>
          <w:rFonts w:hint="eastAsia" w:ascii="方正小标宋简体" w:eastAsia="方正小标宋简体"/>
          <w:color w:val="auto"/>
          <w:kern w:val="0"/>
          <w:sz w:val="44"/>
          <w:szCs w:val="44"/>
        </w:rPr>
        <w:t>成品油零售经营批准证书</w:t>
      </w:r>
    </w:p>
    <w:p>
      <w:pPr>
        <w:pStyle w:val="12"/>
        <w:spacing w:before="0" w:after="100" w:afterAutospacing="1" w:line="560" w:lineRule="exact"/>
        <w:rPr>
          <w:rFonts w:hint="eastAsia" w:ascii="方正小标宋简体" w:eastAsia="方正小标宋简体"/>
          <w:b w:val="0"/>
          <w:color w:val="auto"/>
          <w:kern w:val="0"/>
          <w:sz w:val="44"/>
          <w:szCs w:val="44"/>
        </w:rPr>
      </w:pPr>
      <w:r>
        <w:rPr>
          <w:rFonts w:hint="eastAsia" w:ascii="方正小标宋简体" w:eastAsia="方正小标宋简体"/>
          <w:b w:val="0"/>
          <w:color w:val="auto"/>
          <w:kern w:val="0"/>
          <w:sz w:val="44"/>
          <w:szCs w:val="44"/>
        </w:rPr>
        <w:t>变更、补办、到期换证登记表</w:t>
      </w:r>
      <w:bookmarkEnd w:id="1"/>
    </w:p>
    <w:p>
      <w:pPr>
        <w:rPr>
          <w:rFonts w:hint="eastAsia" w:ascii="仿宋_GB2312" w:hAnsi="仿宋" w:eastAsia="仿宋_GB2312"/>
          <w:color w:val="auto"/>
          <w:sz w:val="24"/>
        </w:rPr>
      </w:pPr>
    </w:p>
    <w:p>
      <w:pPr>
        <w:rPr>
          <w:rFonts w:hint="eastAsia" w:ascii="仿宋_GB2312" w:hAnsi="仿宋" w:eastAsia="仿宋_GB2312"/>
          <w:color w:val="auto"/>
          <w:sz w:val="24"/>
        </w:rPr>
      </w:pPr>
      <w:r>
        <w:rPr>
          <w:rFonts w:hint="eastAsia" w:ascii="仿宋_GB2312" w:hAnsi="仿宋" w:eastAsia="仿宋_GB2312"/>
          <w:color w:val="auto"/>
          <w:sz w:val="24"/>
        </w:rPr>
        <w:t xml:space="preserve">申请企业：（盖章）   </w:t>
      </w:r>
      <w:r>
        <w:rPr>
          <w:rFonts w:hint="eastAsia" w:ascii="仿宋_GB2312" w:eastAsia="仿宋_GB2312"/>
          <w:color w:val="auto"/>
          <w:sz w:val="24"/>
        </w:rPr>
        <w:t xml:space="preserve">                        </w:t>
      </w:r>
      <w:r>
        <w:rPr>
          <w:rFonts w:hint="eastAsia" w:ascii="仿宋_GB2312" w:eastAsia="仿宋_GB2312" w:cs="宋体"/>
          <w:color w:val="auto"/>
          <w:kern w:val="0"/>
          <w:sz w:val="24"/>
        </w:rPr>
        <w:t xml:space="preserve">填报日期：      年 </w:t>
      </w:r>
      <w:r>
        <w:rPr>
          <w:rFonts w:hint="eastAsia" w:ascii="仿宋_GB2312" w:eastAsia="仿宋_GB2312" w:cs="宋体"/>
          <w:color w:val="auto"/>
          <w:kern w:val="0"/>
          <w:sz w:val="24"/>
          <w:lang w:val="en-US" w:eastAsia="zh-CN"/>
        </w:rPr>
        <w:t xml:space="preserve">  </w:t>
      </w:r>
      <w:r>
        <w:rPr>
          <w:rFonts w:hint="eastAsia" w:ascii="仿宋_GB2312" w:eastAsia="仿宋_GB2312" w:cs="宋体"/>
          <w:color w:val="auto"/>
          <w:kern w:val="0"/>
          <w:sz w:val="24"/>
        </w:rPr>
        <w:t xml:space="preserve">  月 </w:t>
      </w:r>
      <w:r>
        <w:rPr>
          <w:rFonts w:hint="eastAsia" w:ascii="仿宋_GB2312" w:eastAsia="仿宋_GB2312" w:cs="宋体"/>
          <w:color w:val="auto"/>
          <w:kern w:val="0"/>
          <w:sz w:val="24"/>
          <w:lang w:val="en-US" w:eastAsia="zh-CN"/>
        </w:rPr>
        <w:t xml:space="preserve">  </w:t>
      </w:r>
      <w:r>
        <w:rPr>
          <w:rFonts w:hint="eastAsia" w:ascii="仿宋_GB2312" w:eastAsia="仿宋_GB2312" w:cs="宋体"/>
          <w:color w:val="auto"/>
          <w:kern w:val="0"/>
          <w:sz w:val="24"/>
        </w:rPr>
        <w:t xml:space="preserve">  日</w:t>
      </w:r>
    </w:p>
    <w:tbl>
      <w:tblPr>
        <w:tblStyle w:val="14"/>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701"/>
        <w:gridCol w:w="1701"/>
        <w:gridCol w:w="1067"/>
        <w:gridCol w:w="2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noWrap w:val="0"/>
            <w:vAlign w:val="center"/>
          </w:tcPr>
          <w:p>
            <w:pPr>
              <w:jc w:val="center"/>
              <w:rPr>
                <w:rFonts w:hint="eastAsia" w:ascii="仿宋_GB2312" w:hAnsi="仿宋" w:eastAsia="仿宋_GB2312"/>
                <w:color w:val="auto"/>
                <w:sz w:val="24"/>
              </w:rPr>
            </w:pPr>
            <w:r>
              <w:rPr>
                <w:rFonts w:hint="eastAsia" w:ascii="仿宋_GB2312" w:hAnsi="仿宋" w:eastAsia="仿宋_GB2312"/>
                <w:color w:val="auto"/>
                <w:sz w:val="24"/>
              </w:rPr>
              <w:t>申请办理内容（√）</w:t>
            </w:r>
          </w:p>
        </w:tc>
        <w:tc>
          <w:tcPr>
            <w:tcW w:w="7088" w:type="dxa"/>
            <w:gridSpan w:val="4"/>
            <w:noWrap w:val="0"/>
            <w:vAlign w:val="center"/>
          </w:tcPr>
          <w:p>
            <w:pPr>
              <w:rPr>
                <w:rFonts w:hint="eastAsia" w:ascii="仿宋_GB2312" w:hAnsi="仿宋" w:eastAsia="仿宋_GB2312"/>
                <w:color w:val="auto"/>
                <w:sz w:val="24"/>
              </w:rPr>
            </w:pPr>
            <w:r>
              <w:rPr>
                <w:rFonts w:hint="eastAsia" w:ascii="仿宋_GB2312" w:hAnsi="仿宋" w:eastAsia="仿宋_GB2312"/>
                <w:color w:val="auto"/>
                <w:sz w:val="24"/>
              </w:rPr>
              <w:t>变更企业名称</w:t>
            </w:r>
            <w:r>
              <w:rPr>
                <w:rFonts w:hint="eastAsia" w:ascii="仿宋_GB2312" w:hAnsi="仿宋" w:eastAsia="仿宋_GB2312"/>
                <w:color w:val="auto"/>
                <w:sz w:val="24"/>
              </w:rPr>
              <w:sym w:font="Wingdings 2" w:char="00A3"/>
            </w:r>
            <w:r>
              <w:rPr>
                <w:rFonts w:hint="eastAsia" w:ascii="仿宋_GB2312" w:hAnsi="仿宋" w:eastAsia="仿宋_GB2312"/>
                <w:color w:val="auto"/>
                <w:sz w:val="24"/>
              </w:rPr>
              <w:t xml:space="preserve">  变更法定代表人（负责人）</w:t>
            </w:r>
            <w:r>
              <w:rPr>
                <w:rFonts w:hint="eastAsia" w:ascii="仿宋_GB2312" w:hAnsi="仿宋" w:eastAsia="仿宋_GB2312"/>
                <w:color w:val="auto"/>
                <w:sz w:val="24"/>
              </w:rPr>
              <w:sym w:font="Wingdings 2" w:char="00A3"/>
            </w:r>
            <w:r>
              <w:rPr>
                <w:rFonts w:hint="eastAsia" w:ascii="仿宋_GB2312" w:hAnsi="仿宋" w:eastAsia="仿宋_GB2312"/>
                <w:color w:val="auto"/>
                <w:sz w:val="24"/>
              </w:rPr>
              <w:t xml:space="preserve">   补办证书</w:t>
            </w:r>
            <w:r>
              <w:rPr>
                <w:rFonts w:hint="eastAsia" w:ascii="仿宋_GB2312" w:hAnsi="仿宋" w:eastAsia="仿宋_GB2312"/>
                <w:color w:val="auto"/>
                <w:sz w:val="24"/>
              </w:rPr>
              <w:sym w:font="Wingdings 2" w:char="00A3"/>
            </w:r>
          </w:p>
          <w:p>
            <w:pPr>
              <w:rPr>
                <w:rFonts w:hint="eastAsia" w:ascii="仿宋_GB2312" w:hAnsi="仿宋" w:eastAsia="仿宋_GB2312"/>
                <w:color w:val="auto"/>
                <w:sz w:val="24"/>
              </w:rPr>
            </w:pPr>
            <w:r>
              <w:rPr>
                <w:rFonts w:hint="eastAsia" w:ascii="仿宋_GB2312" w:hAnsi="仿宋" w:eastAsia="仿宋_GB2312"/>
                <w:color w:val="auto"/>
                <w:sz w:val="24"/>
              </w:rPr>
              <w:t>变更经营品种</w:t>
            </w:r>
            <w:r>
              <w:rPr>
                <w:rFonts w:hint="eastAsia" w:ascii="仿宋_GB2312" w:hAnsi="仿宋" w:eastAsia="仿宋_GB2312"/>
                <w:color w:val="auto"/>
                <w:sz w:val="24"/>
              </w:rPr>
              <w:sym w:font="Wingdings 2" w:char="00A3"/>
            </w:r>
            <w:r>
              <w:rPr>
                <w:rFonts w:hint="eastAsia" w:ascii="仿宋_GB2312" w:hAnsi="仿宋" w:eastAsia="仿宋_GB2312"/>
                <w:color w:val="auto"/>
                <w:sz w:val="24"/>
              </w:rPr>
              <w:t xml:space="preserve">  变更经营地址名称</w:t>
            </w:r>
            <w:r>
              <w:rPr>
                <w:rFonts w:hint="eastAsia" w:ascii="仿宋_GB2312" w:hAnsi="仿宋" w:eastAsia="仿宋_GB2312"/>
                <w:color w:val="auto"/>
                <w:sz w:val="24"/>
              </w:rPr>
              <w:sym w:font="Wingdings 2" w:char="00A3"/>
            </w:r>
            <w:r>
              <w:rPr>
                <w:rFonts w:hint="eastAsia" w:ascii="仿宋_GB2312" w:hAnsi="仿宋" w:eastAsia="仿宋_GB2312"/>
                <w:color w:val="auto"/>
                <w:sz w:val="24"/>
              </w:rPr>
              <w:t xml:space="preserve">           到期换证</w:t>
            </w:r>
            <w:r>
              <w:rPr>
                <w:rFonts w:hint="eastAsia" w:ascii="仿宋_GB2312" w:hAnsi="仿宋" w:eastAsia="仿宋_GB2312"/>
                <w:color w:val="auto"/>
                <w:sz w:val="24"/>
              </w:rPr>
              <w:sym w:font="Wingdings 2" w:char="00A3"/>
            </w:r>
            <w:r>
              <w:rPr>
                <w:rFonts w:hint="eastAsia" w:ascii="仿宋_GB2312" w:hAnsi="仿宋" w:eastAsia="仿宋_GB2312"/>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restart"/>
            <w:noWrap w:val="0"/>
            <w:vAlign w:val="center"/>
          </w:tcPr>
          <w:p>
            <w:pPr>
              <w:jc w:val="center"/>
              <w:rPr>
                <w:rFonts w:hint="eastAsia" w:ascii="仿宋_GB2312" w:hAnsi="仿宋" w:eastAsia="仿宋_GB2312"/>
                <w:color w:val="auto"/>
                <w:sz w:val="24"/>
              </w:rPr>
            </w:pPr>
            <w:r>
              <w:rPr>
                <w:rFonts w:hint="eastAsia" w:ascii="仿宋_GB2312" w:hAnsi="仿宋" w:eastAsia="仿宋_GB2312"/>
                <w:bCs/>
                <w:color w:val="auto"/>
                <w:sz w:val="24"/>
              </w:rPr>
              <w:t>一、变更</w:t>
            </w:r>
          </w:p>
        </w:tc>
        <w:tc>
          <w:tcPr>
            <w:tcW w:w="1701" w:type="dxa"/>
            <w:noWrap w:val="0"/>
            <w:vAlign w:val="center"/>
          </w:tcPr>
          <w:p>
            <w:pPr>
              <w:jc w:val="center"/>
              <w:rPr>
                <w:rFonts w:hint="eastAsia" w:ascii="仿宋_GB2312" w:hAnsi="仿宋" w:eastAsia="仿宋_GB2312"/>
                <w:color w:val="auto"/>
                <w:sz w:val="24"/>
              </w:rPr>
            </w:pPr>
            <w:r>
              <w:rPr>
                <w:rFonts w:hint="eastAsia" w:ascii="仿宋_GB2312" w:hAnsi="仿宋" w:eastAsia="仿宋_GB2312"/>
                <w:color w:val="auto"/>
                <w:sz w:val="24"/>
              </w:rPr>
              <w:t>项目</w:t>
            </w:r>
          </w:p>
        </w:tc>
        <w:tc>
          <w:tcPr>
            <w:tcW w:w="2768" w:type="dxa"/>
            <w:gridSpan w:val="2"/>
            <w:noWrap w:val="0"/>
            <w:vAlign w:val="center"/>
          </w:tcPr>
          <w:p>
            <w:pPr>
              <w:jc w:val="center"/>
              <w:rPr>
                <w:rFonts w:hint="eastAsia" w:ascii="仿宋_GB2312" w:hAnsi="仿宋" w:eastAsia="仿宋_GB2312"/>
                <w:color w:val="auto"/>
                <w:sz w:val="24"/>
              </w:rPr>
            </w:pPr>
            <w:r>
              <w:rPr>
                <w:rFonts w:hint="eastAsia" w:ascii="仿宋_GB2312" w:hAnsi="仿宋" w:eastAsia="仿宋_GB2312"/>
                <w:color w:val="auto"/>
                <w:sz w:val="24"/>
              </w:rPr>
              <w:t>原证书内容</w:t>
            </w:r>
          </w:p>
        </w:tc>
        <w:tc>
          <w:tcPr>
            <w:tcW w:w="2619" w:type="dxa"/>
            <w:noWrap w:val="0"/>
            <w:vAlign w:val="center"/>
          </w:tcPr>
          <w:p>
            <w:pPr>
              <w:jc w:val="center"/>
              <w:rPr>
                <w:rFonts w:hint="eastAsia" w:ascii="仿宋_GB2312" w:hAnsi="仿宋" w:eastAsia="仿宋_GB2312"/>
                <w:color w:val="auto"/>
                <w:sz w:val="24"/>
              </w:rPr>
            </w:pPr>
            <w:r>
              <w:rPr>
                <w:rFonts w:hint="eastAsia" w:ascii="仿宋_GB2312" w:hAnsi="仿宋" w:eastAsia="仿宋_GB2312"/>
                <w:color w:val="auto"/>
                <w:sz w:val="24"/>
              </w:rPr>
              <w:t>申请变更为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780" w:type="dxa"/>
            <w:vMerge w:val="continue"/>
            <w:noWrap w:val="0"/>
            <w:vAlign w:val="center"/>
          </w:tcPr>
          <w:p>
            <w:pPr>
              <w:jc w:val="center"/>
              <w:rPr>
                <w:rFonts w:hint="eastAsia" w:ascii="仿宋_GB2312" w:hAnsi="仿宋" w:eastAsia="仿宋_GB2312"/>
                <w:color w:val="auto"/>
                <w:sz w:val="24"/>
              </w:rPr>
            </w:pPr>
          </w:p>
        </w:tc>
        <w:tc>
          <w:tcPr>
            <w:tcW w:w="1701" w:type="dxa"/>
            <w:noWrap w:val="0"/>
            <w:vAlign w:val="center"/>
          </w:tcPr>
          <w:p>
            <w:pPr>
              <w:jc w:val="center"/>
              <w:rPr>
                <w:rFonts w:hint="eastAsia" w:ascii="仿宋_GB2312" w:hAnsi="仿宋" w:eastAsia="仿宋_GB2312"/>
                <w:color w:val="auto"/>
                <w:sz w:val="24"/>
              </w:rPr>
            </w:pPr>
            <w:r>
              <w:rPr>
                <w:rFonts w:hint="eastAsia" w:ascii="仿宋_GB2312" w:hAnsi="仿宋" w:eastAsia="仿宋_GB2312"/>
                <w:color w:val="auto"/>
                <w:sz w:val="24"/>
              </w:rPr>
              <w:t>企业名称</w:t>
            </w:r>
          </w:p>
        </w:tc>
        <w:tc>
          <w:tcPr>
            <w:tcW w:w="2768" w:type="dxa"/>
            <w:gridSpan w:val="2"/>
            <w:noWrap w:val="0"/>
            <w:vAlign w:val="center"/>
          </w:tcPr>
          <w:p>
            <w:pPr>
              <w:ind w:firstLine="489" w:firstLineChars="204"/>
              <w:rPr>
                <w:rFonts w:hint="eastAsia" w:ascii="仿宋_GB2312" w:hAnsi="仿宋" w:eastAsia="仿宋_GB2312"/>
                <w:color w:val="auto"/>
                <w:sz w:val="24"/>
              </w:rPr>
            </w:pPr>
          </w:p>
        </w:tc>
        <w:tc>
          <w:tcPr>
            <w:tcW w:w="2619" w:type="dxa"/>
            <w:noWrap w:val="0"/>
            <w:vAlign w:val="center"/>
          </w:tcPr>
          <w:p>
            <w:pPr>
              <w:ind w:firstLine="489" w:firstLineChars="204"/>
              <w:rPr>
                <w:rFonts w:hint="eastAsia" w:ascii="仿宋_GB2312" w:hAnsi="仿宋" w:eastAsia="仿宋_GB2312"/>
                <w:color w:val="auto"/>
                <w:sz w:val="24"/>
              </w:rPr>
            </w:pPr>
            <w:r>
              <w:rPr>
                <w:rFonts w:hint="eastAsia" w:ascii="仿宋_GB2312" w:hAnsi="仿宋" w:eastAsia="仿宋_GB2312"/>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continue"/>
            <w:noWrap w:val="0"/>
            <w:vAlign w:val="center"/>
          </w:tcPr>
          <w:p>
            <w:pPr>
              <w:jc w:val="center"/>
              <w:rPr>
                <w:rFonts w:hint="eastAsia" w:ascii="仿宋_GB2312" w:hAnsi="仿宋" w:eastAsia="仿宋_GB2312"/>
                <w:color w:val="auto"/>
                <w:sz w:val="24"/>
              </w:rPr>
            </w:pPr>
          </w:p>
        </w:tc>
        <w:tc>
          <w:tcPr>
            <w:tcW w:w="1701" w:type="dxa"/>
            <w:noWrap w:val="0"/>
            <w:vAlign w:val="center"/>
          </w:tcPr>
          <w:p>
            <w:pPr>
              <w:jc w:val="center"/>
              <w:rPr>
                <w:rFonts w:hint="eastAsia" w:ascii="仿宋_GB2312" w:hAnsi="仿宋" w:eastAsia="仿宋_GB2312"/>
                <w:color w:val="auto"/>
                <w:sz w:val="24"/>
              </w:rPr>
            </w:pPr>
            <w:r>
              <w:rPr>
                <w:rFonts w:hint="eastAsia" w:ascii="仿宋_GB2312" w:hAnsi="仿宋" w:eastAsia="仿宋_GB2312"/>
                <w:color w:val="auto"/>
                <w:sz w:val="24"/>
              </w:rPr>
              <w:t>法定代表人（责任人）</w:t>
            </w:r>
          </w:p>
        </w:tc>
        <w:tc>
          <w:tcPr>
            <w:tcW w:w="2768" w:type="dxa"/>
            <w:gridSpan w:val="2"/>
            <w:noWrap w:val="0"/>
            <w:vAlign w:val="center"/>
          </w:tcPr>
          <w:p>
            <w:pPr>
              <w:ind w:firstLine="489" w:firstLineChars="204"/>
              <w:rPr>
                <w:rFonts w:hint="eastAsia" w:ascii="仿宋_GB2312" w:hAnsi="仿宋" w:eastAsia="仿宋_GB2312"/>
                <w:color w:val="auto"/>
                <w:sz w:val="24"/>
              </w:rPr>
            </w:pPr>
          </w:p>
        </w:tc>
        <w:tc>
          <w:tcPr>
            <w:tcW w:w="2619" w:type="dxa"/>
            <w:noWrap w:val="0"/>
            <w:vAlign w:val="center"/>
          </w:tcPr>
          <w:p>
            <w:pPr>
              <w:ind w:firstLine="489" w:firstLineChars="204"/>
              <w:rPr>
                <w:rFonts w:hint="eastAsia" w:ascii="仿宋_GB2312" w:hAnsi="仿宋" w:eastAsia="仿宋_GB2312"/>
                <w:color w:val="auto"/>
                <w:sz w:val="24"/>
              </w:rPr>
            </w:pPr>
            <w:r>
              <w:rPr>
                <w:rFonts w:hint="eastAsia" w:ascii="仿宋_GB2312" w:hAnsi="仿宋" w:eastAsia="仿宋_GB2312"/>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continue"/>
            <w:noWrap w:val="0"/>
            <w:vAlign w:val="center"/>
          </w:tcPr>
          <w:p>
            <w:pPr>
              <w:jc w:val="center"/>
              <w:rPr>
                <w:rFonts w:hint="eastAsia" w:ascii="仿宋_GB2312" w:hAnsi="仿宋" w:eastAsia="仿宋_GB2312"/>
                <w:color w:val="auto"/>
                <w:sz w:val="24"/>
              </w:rPr>
            </w:pPr>
          </w:p>
        </w:tc>
        <w:tc>
          <w:tcPr>
            <w:tcW w:w="1701" w:type="dxa"/>
            <w:noWrap w:val="0"/>
            <w:vAlign w:val="center"/>
          </w:tcPr>
          <w:p>
            <w:pPr>
              <w:jc w:val="center"/>
              <w:rPr>
                <w:rFonts w:hint="eastAsia" w:ascii="仿宋_GB2312" w:hAnsi="仿宋" w:eastAsia="仿宋_GB2312"/>
                <w:color w:val="auto"/>
                <w:sz w:val="24"/>
              </w:rPr>
            </w:pPr>
            <w:r>
              <w:rPr>
                <w:rFonts w:hint="eastAsia" w:ascii="仿宋_GB2312" w:hAnsi="仿宋" w:eastAsia="仿宋_GB2312"/>
                <w:color w:val="auto"/>
                <w:sz w:val="24"/>
              </w:rPr>
              <w:t>经营地址名称</w:t>
            </w:r>
          </w:p>
        </w:tc>
        <w:tc>
          <w:tcPr>
            <w:tcW w:w="2768" w:type="dxa"/>
            <w:gridSpan w:val="2"/>
            <w:noWrap w:val="0"/>
            <w:vAlign w:val="center"/>
          </w:tcPr>
          <w:p>
            <w:pPr>
              <w:ind w:firstLine="489" w:firstLineChars="204"/>
              <w:rPr>
                <w:rFonts w:hint="eastAsia" w:ascii="仿宋_GB2312" w:hAnsi="仿宋" w:eastAsia="仿宋_GB2312"/>
                <w:color w:val="auto"/>
                <w:sz w:val="24"/>
              </w:rPr>
            </w:pPr>
          </w:p>
        </w:tc>
        <w:tc>
          <w:tcPr>
            <w:tcW w:w="2619" w:type="dxa"/>
            <w:noWrap w:val="0"/>
            <w:vAlign w:val="center"/>
          </w:tcPr>
          <w:p>
            <w:pPr>
              <w:ind w:firstLine="489" w:firstLineChars="204"/>
              <w:rPr>
                <w:rFonts w:hint="eastAsia" w:ascii="仿宋_GB2312" w:hAnsi="仿宋"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continue"/>
            <w:noWrap w:val="0"/>
            <w:vAlign w:val="center"/>
          </w:tcPr>
          <w:p>
            <w:pPr>
              <w:jc w:val="center"/>
              <w:rPr>
                <w:rFonts w:hint="eastAsia" w:ascii="仿宋_GB2312" w:hAnsi="仿宋" w:eastAsia="仿宋_GB2312"/>
                <w:color w:val="auto"/>
                <w:sz w:val="24"/>
              </w:rPr>
            </w:pPr>
          </w:p>
        </w:tc>
        <w:tc>
          <w:tcPr>
            <w:tcW w:w="1701" w:type="dxa"/>
            <w:noWrap w:val="0"/>
            <w:vAlign w:val="center"/>
          </w:tcPr>
          <w:p>
            <w:pPr>
              <w:jc w:val="center"/>
              <w:rPr>
                <w:rFonts w:hint="eastAsia" w:ascii="仿宋_GB2312" w:hAnsi="仿宋" w:eastAsia="仿宋_GB2312"/>
                <w:color w:val="auto"/>
                <w:sz w:val="24"/>
              </w:rPr>
            </w:pPr>
            <w:r>
              <w:rPr>
                <w:rFonts w:hint="eastAsia" w:ascii="仿宋_GB2312" w:hAnsi="仿宋" w:eastAsia="仿宋_GB2312"/>
                <w:color w:val="auto"/>
                <w:sz w:val="24"/>
              </w:rPr>
              <w:t>经营品种</w:t>
            </w:r>
          </w:p>
        </w:tc>
        <w:tc>
          <w:tcPr>
            <w:tcW w:w="2768" w:type="dxa"/>
            <w:gridSpan w:val="2"/>
            <w:noWrap w:val="0"/>
            <w:vAlign w:val="center"/>
          </w:tcPr>
          <w:p>
            <w:pPr>
              <w:ind w:firstLine="489" w:firstLineChars="204"/>
              <w:rPr>
                <w:rFonts w:hint="eastAsia" w:ascii="仿宋_GB2312" w:hAnsi="仿宋" w:eastAsia="仿宋_GB2312"/>
                <w:color w:val="auto"/>
                <w:sz w:val="24"/>
              </w:rPr>
            </w:pPr>
          </w:p>
        </w:tc>
        <w:tc>
          <w:tcPr>
            <w:tcW w:w="2619" w:type="dxa"/>
            <w:noWrap w:val="0"/>
            <w:vAlign w:val="center"/>
          </w:tcPr>
          <w:p>
            <w:pPr>
              <w:ind w:firstLine="489" w:firstLineChars="204"/>
              <w:rPr>
                <w:rFonts w:hint="eastAsia" w:ascii="仿宋_GB2312" w:hAnsi="仿宋" w:eastAsia="仿宋_GB2312"/>
                <w:color w:val="auto"/>
                <w:sz w:val="24"/>
              </w:rPr>
            </w:pPr>
            <w:r>
              <w:rPr>
                <w:rFonts w:hint="eastAsia" w:ascii="仿宋_GB2312" w:hAnsi="仿宋" w:eastAsia="仿宋_GB2312"/>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restart"/>
            <w:noWrap w:val="0"/>
            <w:vAlign w:val="center"/>
          </w:tcPr>
          <w:p>
            <w:pPr>
              <w:jc w:val="center"/>
              <w:rPr>
                <w:rFonts w:hint="eastAsia" w:ascii="仿宋_GB2312" w:hAnsi="仿宋" w:eastAsia="仿宋_GB2312"/>
                <w:color w:val="auto"/>
                <w:sz w:val="24"/>
              </w:rPr>
            </w:pPr>
            <w:r>
              <w:rPr>
                <w:rFonts w:hint="eastAsia" w:ascii="仿宋_GB2312" w:hAnsi="仿宋" w:eastAsia="仿宋_GB2312"/>
                <w:bCs/>
                <w:color w:val="auto"/>
                <w:sz w:val="24"/>
              </w:rPr>
              <w:t>二、补办证书</w:t>
            </w:r>
          </w:p>
        </w:tc>
        <w:tc>
          <w:tcPr>
            <w:tcW w:w="1701" w:type="dxa"/>
            <w:noWrap w:val="0"/>
            <w:vAlign w:val="center"/>
          </w:tcPr>
          <w:p>
            <w:pPr>
              <w:jc w:val="center"/>
              <w:rPr>
                <w:rFonts w:hint="eastAsia" w:ascii="仿宋_GB2312" w:hAnsi="仿宋" w:eastAsia="仿宋_GB2312"/>
                <w:color w:val="auto"/>
                <w:sz w:val="24"/>
              </w:rPr>
            </w:pPr>
            <w:r>
              <w:rPr>
                <w:rFonts w:hint="eastAsia" w:ascii="仿宋_GB2312" w:hAnsi="仿宋" w:eastAsia="仿宋_GB2312"/>
                <w:color w:val="auto"/>
                <w:sz w:val="24"/>
              </w:rPr>
              <w:t>企业名称</w:t>
            </w:r>
          </w:p>
        </w:tc>
        <w:tc>
          <w:tcPr>
            <w:tcW w:w="5387" w:type="dxa"/>
            <w:gridSpan w:val="3"/>
            <w:noWrap w:val="0"/>
            <w:vAlign w:val="center"/>
          </w:tcPr>
          <w:p>
            <w:pPr>
              <w:ind w:firstLine="489" w:firstLineChars="204"/>
              <w:rPr>
                <w:rFonts w:hint="eastAsia" w:ascii="仿宋_GB2312" w:hAnsi="仿宋"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continue"/>
            <w:noWrap w:val="0"/>
            <w:vAlign w:val="center"/>
          </w:tcPr>
          <w:p>
            <w:pPr>
              <w:ind w:firstLine="428" w:firstLineChars="204"/>
              <w:rPr>
                <w:rFonts w:hint="eastAsia" w:ascii="仿宋_GB2312" w:eastAsia="仿宋_GB2312"/>
                <w:color w:val="auto"/>
              </w:rPr>
            </w:pPr>
          </w:p>
        </w:tc>
        <w:tc>
          <w:tcPr>
            <w:tcW w:w="1701" w:type="dxa"/>
            <w:noWrap w:val="0"/>
            <w:vAlign w:val="center"/>
          </w:tcPr>
          <w:p>
            <w:pPr>
              <w:jc w:val="center"/>
              <w:rPr>
                <w:rFonts w:hint="eastAsia" w:ascii="仿宋_GB2312" w:eastAsia="仿宋_GB2312"/>
                <w:color w:val="auto"/>
              </w:rPr>
            </w:pPr>
            <w:r>
              <w:rPr>
                <w:rFonts w:hint="eastAsia" w:ascii="仿宋_GB2312" w:hAnsi="仿宋" w:eastAsia="仿宋_GB2312"/>
                <w:color w:val="auto"/>
                <w:sz w:val="24"/>
              </w:rPr>
              <w:t>法定代表人（责任人）</w:t>
            </w:r>
          </w:p>
        </w:tc>
        <w:tc>
          <w:tcPr>
            <w:tcW w:w="5387" w:type="dxa"/>
            <w:gridSpan w:val="3"/>
            <w:noWrap w:val="0"/>
            <w:vAlign w:val="center"/>
          </w:tcPr>
          <w:p>
            <w:pPr>
              <w:ind w:firstLine="489" w:firstLineChars="204"/>
              <w:rPr>
                <w:rFonts w:hint="eastAsia" w:ascii="仿宋_GB2312" w:hAnsi="仿宋"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continue"/>
            <w:noWrap w:val="0"/>
            <w:vAlign w:val="center"/>
          </w:tcPr>
          <w:p>
            <w:pPr>
              <w:ind w:firstLine="489" w:firstLineChars="204"/>
              <w:rPr>
                <w:rFonts w:hint="eastAsia" w:ascii="仿宋_GB2312" w:hAnsi="仿宋" w:eastAsia="仿宋_GB2312"/>
                <w:color w:val="auto"/>
                <w:sz w:val="24"/>
              </w:rPr>
            </w:pPr>
          </w:p>
        </w:tc>
        <w:tc>
          <w:tcPr>
            <w:tcW w:w="1701" w:type="dxa"/>
            <w:noWrap w:val="0"/>
            <w:vAlign w:val="center"/>
          </w:tcPr>
          <w:p>
            <w:pPr>
              <w:jc w:val="center"/>
              <w:rPr>
                <w:rFonts w:hint="eastAsia" w:ascii="仿宋_GB2312" w:hAnsi="仿宋" w:eastAsia="仿宋_GB2312"/>
                <w:color w:val="auto"/>
                <w:sz w:val="24"/>
              </w:rPr>
            </w:pPr>
            <w:r>
              <w:rPr>
                <w:rFonts w:hint="eastAsia" w:ascii="仿宋_GB2312" w:hAnsi="仿宋" w:eastAsia="仿宋_GB2312"/>
                <w:color w:val="auto"/>
                <w:sz w:val="24"/>
              </w:rPr>
              <w:t>经营地址</w:t>
            </w:r>
          </w:p>
        </w:tc>
        <w:tc>
          <w:tcPr>
            <w:tcW w:w="5387" w:type="dxa"/>
            <w:gridSpan w:val="3"/>
            <w:noWrap w:val="0"/>
            <w:vAlign w:val="center"/>
          </w:tcPr>
          <w:p>
            <w:pPr>
              <w:ind w:firstLine="489" w:firstLineChars="204"/>
              <w:rPr>
                <w:rFonts w:hint="eastAsia" w:ascii="仿宋_GB2312" w:hAnsi="仿宋"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restart"/>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bCs/>
                <w:color w:val="auto"/>
              </w:rPr>
              <w:t>三、到期换证</w:t>
            </w:r>
          </w:p>
        </w:tc>
        <w:tc>
          <w:tcPr>
            <w:tcW w:w="1701" w:type="dxa"/>
            <w:noWrap w:val="0"/>
            <w:vAlign w:val="center"/>
          </w:tcPr>
          <w:p>
            <w:pPr>
              <w:jc w:val="center"/>
              <w:rPr>
                <w:rFonts w:hint="eastAsia" w:ascii="仿宋_GB2312" w:hAnsi="仿宋" w:eastAsia="仿宋_GB2312"/>
                <w:color w:val="auto"/>
              </w:rPr>
            </w:pPr>
            <w:r>
              <w:rPr>
                <w:rFonts w:hint="eastAsia" w:ascii="仿宋_GB2312" w:hAnsi="仿宋" w:eastAsia="仿宋_GB2312"/>
                <w:color w:val="auto"/>
                <w:sz w:val="24"/>
              </w:rPr>
              <w:t>企业名称</w:t>
            </w:r>
          </w:p>
        </w:tc>
        <w:tc>
          <w:tcPr>
            <w:tcW w:w="5387" w:type="dxa"/>
            <w:gridSpan w:val="3"/>
            <w:noWrap w:val="0"/>
            <w:vAlign w:val="bottom"/>
          </w:tcPr>
          <w:p>
            <w:pPr>
              <w:pStyle w:val="11"/>
              <w:spacing w:before="0" w:beforeAutospacing="0" w:after="0" w:afterAutospacing="0"/>
              <w:ind w:firstLine="4528" w:firstLineChars="1887"/>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continue"/>
            <w:noWrap w:val="0"/>
            <w:vAlign w:val="center"/>
          </w:tcPr>
          <w:p>
            <w:pPr>
              <w:pStyle w:val="11"/>
              <w:spacing w:before="0" w:beforeAutospacing="0" w:after="0" w:afterAutospacing="0"/>
              <w:ind w:firstLine="4528" w:firstLineChars="1887"/>
              <w:rPr>
                <w:rFonts w:hint="eastAsia" w:ascii="仿宋_GB2312" w:eastAsia="仿宋_GB2312"/>
                <w:color w:val="auto"/>
              </w:rPr>
            </w:pPr>
          </w:p>
        </w:tc>
        <w:tc>
          <w:tcPr>
            <w:tcW w:w="1701" w:type="dxa"/>
            <w:noWrap w:val="0"/>
            <w:vAlign w:val="center"/>
          </w:tcPr>
          <w:p>
            <w:pPr>
              <w:jc w:val="center"/>
              <w:rPr>
                <w:rFonts w:hint="eastAsia" w:ascii="仿宋_GB2312" w:eastAsia="仿宋_GB2312"/>
                <w:color w:val="auto"/>
              </w:rPr>
            </w:pPr>
            <w:r>
              <w:rPr>
                <w:rFonts w:hint="eastAsia" w:ascii="仿宋_GB2312" w:hAnsi="仿宋" w:eastAsia="仿宋_GB2312"/>
                <w:color w:val="auto"/>
                <w:sz w:val="24"/>
              </w:rPr>
              <w:t>法定代表人（责任人）</w:t>
            </w:r>
          </w:p>
        </w:tc>
        <w:tc>
          <w:tcPr>
            <w:tcW w:w="5387" w:type="dxa"/>
            <w:gridSpan w:val="3"/>
            <w:noWrap w:val="0"/>
            <w:vAlign w:val="bottom"/>
          </w:tcPr>
          <w:p>
            <w:pPr>
              <w:pStyle w:val="11"/>
              <w:spacing w:before="0" w:beforeAutospacing="0" w:after="0" w:afterAutospacing="0"/>
              <w:ind w:firstLine="4528" w:firstLineChars="1887"/>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continue"/>
            <w:noWrap w:val="0"/>
            <w:vAlign w:val="center"/>
          </w:tcPr>
          <w:p>
            <w:pPr>
              <w:pStyle w:val="11"/>
              <w:spacing w:before="0" w:beforeAutospacing="0" w:after="0" w:afterAutospacing="0"/>
              <w:ind w:firstLine="4528" w:firstLineChars="1887"/>
              <w:rPr>
                <w:rFonts w:hint="eastAsia" w:ascii="仿宋_GB2312" w:hAnsi="仿宋" w:eastAsia="仿宋_GB2312"/>
                <w:color w:val="auto"/>
              </w:rPr>
            </w:pPr>
          </w:p>
        </w:tc>
        <w:tc>
          <w:tcPr>
            <w:tcW w:w="1701" w:type="dxa"/>
            <w:noWrap w:val="0"/>
            <w:vAlign w:val="center"/>
          </w:tcPr>
          <w:p>
            <w:pPr>
              <w:jc w:val="center"/>
              <w:rPr>
                <w:rFonts w:hint="eastAsia" w:ascii="仿宋_GB2312" w:hAnsi="仿宋" w:eastAsia="仿宋_GB2312"/>
                <w:color w:val="auto"/>
              </w:rPr>
            </w:pPr>
            <w:r>
              <w:rPr>
                <w:rFonts w:hint="eastAsia" w:ascii="仿宋_GB2312" w:hAnsi="仿宋" w:eastAsia="仿宋_GB2312"/>
                <w:color w:val="auto"/>
                <w:sz w:val="24"/>
              </w:rPr>
              <w:t>经营地址</w:t>
            </w:r>
          </w:p>
        </w:tc>
        <w:tc>
          <w:tcPr>
            <w:tcW w:w="5387" w:type="dxa"/>
            <w:gridSpan w:val="3"/>
            <w:noWrap w:val="0"/>
            <w:vAlign w:val="bottom"/>
          </w:tcPr>
          <w:p>
            <w:pPr>
              <w:pStyle w:val="11"/>
              <w:spacing w:before="0" w:beforeAutospacing="0" w:after="0" w:afterAutospacing="0"/>
              <w:ind w:firstLine="4528" w:firstLineChars="1887"/>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481" w:type="dxa"/>
            <w:gridSpan w:val="2"/>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申请人签字（非法定代表人或负责人的，需提供授权委托书）</w:t>
            </w:r>
          </w:p>
        </w:tc>
        <w:tc>
          <w:tcPr>
            <w:tcW w:w="5387" w:type="dxa"/>
            <w:gridSpan w:val="3"/>
            <w:noWrap w:val="0"/>
            <w:vAlign w:val="center"/>
          </w:tcPr>
          <w:p>
            <w:pPr>
              <w:pStyle w:val="11"/>
              <w:spacing w:before="0" w:beforeAutospacing="0" w:after="0" w:afterAutospacing="0"/>
              <w:ind w:firstLine="4528" w:firstLineChars="1887"/>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80" w:type="dxa"/>
            <w:vMerge w:val="restart"/>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证书编号（由发证机关填写）</w:t>
            </w:r>
          </w:p>
        </w:tc>
        <w:tc>
          <w:tcPr>
            <w:tcW w:w="3402" w:type="dxa"/>
            <w:gridSpan w:val="2"/>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rPr>
              <w:t>原证书编号</w:t>
            </w:r>
          </w:p>
        </w:tc>
        <w:tc>
          <w:tcPr>
            <w:tcW w:w="3686" w:type="dxa"/>
            <w:gridSpan w:val="2"/>
            <w:noWrap w:val="0"/>
            <w:vAlign w:val="center"/>
          </w:tcPr>
          <w:p>
            <w:pPr>
              <w:pStyle w:val="11"/>
              <w:spacing w:before="0" w:beforeAutospacing="0" w:after="0" w:afterAutospacing="0"/>
              <w:jc w:val="center"/>
              <w:rPr>
                <w:rFonts w:hint="eastAsia" w:ascii="仿宋_GB2312" w:hAnsi="仿宋" w:eastAsia="仿宋_GB2312"/>
                <w:color w:val="auto"/>
              </w:rPr>
            </w:pPr>
            <w:r>
              <w:rPr>
                <w:rFonts w:hint="eastAsia" w:ascii="仿宋_GB2312" w:hAnsi="仿宋" w:eastAsia="仿宋_GB2312"/>
                <w:color w:val="auto"/>
                <w:lang w:val="en-US" w:eastAsia="zh-CN"/>
              </w:rPr>
              <w:t>新</w:t>
            </w:r>
            <w:r>
              <w:rPr>
                <w:rFonts w:hint="eastAsia" w:ascii="仿宋_GB2312" w:hAnsi="仿宋" w:eastAsia="仿宋_GB2312"/>
                <w:color w:val="auto"/>
              </w:rPr>
              <w:t>核发证书编号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780" w:type="dxa"/>
            <w:vMerge w:val="continue"/>
            <w:noWrap w:val="0"/>
            <w:vAlign w:val="center"/>
          </w:tcPr>
          <w:p>
            <w:pPr>
              <w:pStyle w:val="11"/>
              <w:spacing w:before="0" w:beforeAutospacing="0" w:after="0" w:afterAutospacing="0"/>
              <w:jc w:val="center"/>
              <w:rPr>
                <w:rFonts w:hint="eastAsia" w:ascii="仿宋_GB2312" w:hAnsi="仿宋" w:eastAsia="仿宋_GB2312"/>
                <w:color w:val="auto"/>
              </w:rPr>
            </w:pPr>
          </w:p>
        </w:tc>
        <w:tc>
          <w:tcPr>
            <w:tcW w:w="3402" w:type="dxa"/>
            <w:gridSpan w:val="2"/>
            <w:noWrap w:val="0"/>
            <w:vAlign w:val="center"/>
          </w:tcPr>
          <w:p>
            <w:pPr>
              <w:pStyle w:val="11"/>
              <w:spacing w:before="0" w:beforeAutospacing="0" w:after="0" w:afterAutospacing="0"/>
              <w:rPr>
                <w:rFonts w:hint="eastAsia" w:ascii="仿宋_GB2312" w:hAnsi="仿宋" w:eastAsia="仿宋_GB2312"/>
                <w:color w:val="auto"/>
              </w:rPr>
            </w:pPr>
          </w:p>
        </w:tc>
        <w:tc>
          <w:tcPr>
            <w:tcW w:w="3686" w:type="dxa"/>
            <w:gridSpan w:val="2"/>
            <w:noWrap w:val="0"/>
            <w:vAlign w:val="center"/>
          </w:tcPr>
          <w:p>
            <w:pPr>
              <w:pStyle w:val="11"/>
              <w:spacing w:before="0" w:beforeAutospacing="0" w:after="0" w:afterAutospacing="0"/>
              <w:rPr>
                <w:rFonts w:hint="eastAsia" w:ascii="仿宋_GB2312" w:hAnsi="仿宋" w:eastAsia="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780" w:type="dxa"/>
            <w:noWrap w:val="0"/>
            <w:vAlign w:val="center"/>
          </w:tcPr>
          <w:p>
            <w:pPr>
              <w:pStyle w:val="11"/>
              <w:spacing w:before="0" w:beforeAutospacing="0" w:after="0" w:afterAutospacing="0"/>
              <w:ind w:firstLine="4528" w:firstLineChars="1887"/>
              <w:jc w:val="center"/>
              <w:rPr>
                <w:rFonts w:hint="eastAsia" w:ascii="仿宋_GB2312" w:hAnsi="仿宋" w:eastAsia="仿宋_GB2312"/>
                <w:color w:val="auto"/>
              </w:rPr>
            </w:pPr>
            <w:r>
              <w:rPr>
                <w:rFonts w:hint="eastAsia" w:ascii="仿宋_GB2312" w:hAnsi="仿宋" w:eastAsia="仿宋_GB2312"/>
                <w:color w:val="auto"/>
              </w:rPr>
              <w:t>显县级商务主管部门意见</w:t>
            </w:r>
          </w:p>
        </w:tc>
        <w:tc>
          <w:tcPr>
            <w:tcW w:w="7088" w:type="dxa"/>
            <w:gridSpan w:val="4"/>
            <w:noWrap w:val="0"/>
            <w:vAlign w:val="center"/>
          </w:tcPr>
          <w:p>
            <w:pPr>
              <w:pStyle w:val="11"/>
              <w:spacing w:before="0" w:beforeAutospacing="0" w:after="0" w:afterAutospacing="0"/>
              <w:ind w:firstLine="4528" w:firstLineChars="1887"/>
              <w:rPr>
                <w:rFonts w:hint="eastAsia" w:ascii="仿宋_GB2312" w:hAnsi="仿宋" w:eastAsia="仿宋_GB2312"/>
                <w:color w:val="auto"/>
              </w:rPr>
            </w:pPr>
          </w:p>
          <w:p>
            <w:pPr>
              <w:pStyle w:val="11"/>
              <w:spacing w:before="0" w:beforeAutospacing="0" w:after="0" w:afterAutospacing="0"/>
              <w:ind w:firstLine="4528" w:firstLineChars="1887"/>
              <w:rPr>
                <w:rFonts w:hint="eastAsia" w:ascii="仿宋_GB2312" w:hAnsi="仿宋" w:eastAsia="仿宋_GB2312"/>
                <w:color w:val="auto"/>
              </w:rPr>
            </w:pPr>
          </w:p>
          <w:p>
            <w:pPr>
              <w:pStyle w:val="11"/>
              <w:spacing w:before="0" w:beforeAutospacing="0" w:after="0" w:afterAutospacing="0"/>
              <w:rPr>
                <w:rFonts w:hint="eastAsia" w:ascii="仿宋_GB2312" w:hAnsi="仿宋" w:eastAsia="仿宋_GB2312"/>
                <w:color w:val="auto"/>
              </w:rPr>
            </w:pPr>
            <w:r>
              <w:rPr>
                <w:rFonts w:hint="eastAsia" w:ascii="仿宋_GB2312" w:hAnsi="仿宋" w:eastAsia="仿宋_GB2312"/>
                <w:color w:val="auto"/>
              </w:rPr>
              <w:t>经办人：</w:t>
            </w:r>
          </w:p>
          <w:p>
            <w:pPr>
              <w:pStyle w:val="11"/>
              <w:spacing w:before="0" w:beforeAutospacing="0" w:after="0" w:afterAutospacing="0"/>
              <w:rPr>
                <w:rFonts w:hint="eastAsia" w:ascii="仿宋_GB2312" w:hAnsi="仿宋" w:eastAsia="仿宋_GB2312"/>
                <w:color w:val="auto"/>
              </w:rPr>
            </w:pPr>
          </w:p>
          <w:p>
            <w:pPr>
              <w:pStyle w:val="11"/>
              <w:spacing w:before="0" w:beforeAutospacing="0" w:after="0" w:afterAutospacing="0"/>
              <w:rPr>
                <w:rFonts w:hint="eastAsia" w:ascii="仿宋_GB2312" w:hAnsi="仿宋" w:eastAsia="仿宋_GB2312"/>
                <w:color w:val="auto"/>
              </w:rPr>
            </w:pPr>
          </w:p>
          <w:p>
            <w:pPr>
              <w:pStyle w:val="11"/>
              <w:spacing w:before="0" w:beforeAutospacing="0" w:after="0" w:afterAutospacing="0"/>
              <w:rPr>
                <w:rFonts w:hint="eastAsia" w:ascii="仿宋_GB2312" w:hAnsi="仿宋" w:eastAsia="仿宋_GB2312"/>
                <w:color w:val="auto"/>
              </w:rPr>
            </w:pPr>
            <w:r>
              <w:rPr>
                <w:rFonts w:hint="eastAsia" w:ascii="仿宋_GB2312" w:hAnsi="仿宋" w:eastAsia="仿宋_GB2312"/>
                <w:color w:val="auto"/>
              </w:rPr>
              <w:t xml:space="preserve">负责人：                             （单位盖章）                                  </w:t>
            </w:r>
          </w:p>
          <w:p>
            <w:pPr>
              <w:pStyle w:val="11"/>
              <w:spacing w:before="0" w:beforeAutospacing="0" w:after="0" w:afterAutospacing="0"/>
              <w:rPr>
                <w:rFonts w:hint="eastAsia" w:ascii="仿宋_GB2312" w:hAnsi="仿宋" w:eastAsia="仿宋_GB2312"/>
                <w:color w:val="auto"/>
              </w:rPr>
            </w:pPr>
            <w:r>
              <w:rPr>
                <w:rFonts w:hint="eastAsia" w:ascii="仿宋_GB2312" w:hAnsi="仿宋" w:eastAsia="仿宋_GB2312"/>
                <w:color w:val="auto"/>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780" w:type="dxa"/>
            <w:noWrap w:val="0"/>
            <w:vAlign w:val="center"/>
          </w:tcPr>
          <w:p>
            <w:pPr>
              <w:pStyle w:val="11"/>
              <w:spacing w:before="0" w:beforeAutospacing="0" w:after="0" w:afterAutospacing="0"/>
              <w:ind w:firstLine="4528" w:firstLineChars="1887"/>
              <w:jc w:val="center"/>
              <w:rPr>
                <w:rFonts w:hint="eastAsia" w:ascii="仿宋_GB2312" w:hAnsi="仿宋" w:eastAsia="仿宋_GB2312"/>
                <w:color w:val="auto"/>
              </w:rPr>
            </w:pPr>
            <w:r>
              <w:rPr>
                <w:rFonts w:hint="eastAsia" w:ascii="仿宋_GB2312" w:hAnsi="仿宋" w:eastAsia="仿宋_GB2312"/>
                <w:color w:val="auto"/>
              </w:rPr>
              <w:t>地市级商务主管部门审核意见</w:t>
            </w:r>
          </w:p>
        </w:tc>
        <w:tc>
          <w:tcPr>
            <w:tcW w:w="7088" w:type="dxa"/>
            <w:gridSpan w:val="4"/>
            <w:noWrap w:val="0"/>
            <w:vAlign w:val="center"/>
          </w:tcPr>
          <w:p>
            <w:pPr>
              <w:pStyle w:val="11"/>
              <w:spacing w:before="0" w:beforeAutospacing="0" w:after="0" w:afterAutospacing="0"/>
              <w:rPr>
                <w:rFonts w:hint="eastAsia" w:ascii="仿宋_GB2312" w:hAnsi="仿宋" w:eastAsia="仿宋_GB2312"/>
                <w:color w:val="auto"/>
              </w:rPr>
            </w:pPr>
          </w:p>
          <w:p>
            <w:pPr>
              <w:pStyle w:val="11"/>
              <w:spacing w:before="0" w:beforeAutospacing="0" w:after="0" w:afterAutospacing="0"/>
              <w:rPr>
                <w:rFonts w:hint="eastAsia" w:ascii="仿宋_GB2312" w:hAnsi="仿宋" w:eastAsia="仿宋_GB2312"/>
                <w:color w:val="auto"/>
              </w:rPr>
            </w:pPr>
          </w:p>
          <w:p>
            <w:pPr>
              <w:pStyle w:val="11"/>
              <w:spacing w:before="0" w:beforeAutospacing="0" w:after="0" w:afterAutospacing="0"/>
              <w:rPr>
                <w:rFonts w:hint="eastAsia" w:ascii="仿宋_GB2312" w:hAnsi="仿宋" w:eastAsia="仿宋_GB2312"/>
                <w:color w:val="auto"/>
              </w:rPr>
            </w:pPr>
            <w:r>
              <w:rPr>
                <w:rFonts w:hint="eastAsia" w:ascii="仿宋_GB2312" w:hAnsi="仿宋" w:eastAsia="仿宋_GB2312"/>
                <w:color w:val="auto"/>
              </w:rPr>
              <w:t>经办人：</w:t>
            </w:r>
          </w:p>
          <w:p>
            <w:pPr>
              <w:pStyle w:val="11"/>
              <w:spacing w:before="0" w:beforeAutospacing="0" w:after="0" w:afterAutospacing="0"/>
              <w:rPr>
                <w:rFonts w:hint="eastAsia" w:ascii="仿宋_GB2312" w:hAnsi="仿宋" w:eastAsia="仿宋_GB2312"/>
                <w:color w:val="auto"/>
              </w:rPr>
            </w:pPr>
          </w:p>
          <w:p>
            <w:pPr>
              <w:pStyle w:val="11"/>
              <w:spacing w:before="0" w:beforeAutospacing="0" w:after="0" w:afterAutospacing="0"/>
              <w:rPr>
                <w:rFonts w:hint="eastAsia" w:ascii="仿宋_GB2312" w:hAnsi="仿宋" w:eastAsia="仿宋_GB2312"/>
                <w:color w:val="auto"/>
              </w:rPr>
            </w:pPr>
          </w:p>
          <w:p>
            <w:pPr>
              <w:pStyle w:val="11"/>
              <w:spacing w:before="0" w:beforeAutospacing="0" w:after="0" w:afterAutospacing="0"/>
              <w:rPr>
                <w:rFonts w:hint="eastAsia" w:ascii="仿宋_GB2312" w:hAnsi="仿宋" w:eastAsia="仿宋_GB2312"/>
                <w:color w:val="auto"/>
              </w:rPr>
            </w:pPr>
            <w:r>
              <w:rPr>
                <w:rFonts w:hint="eastAsia" w:ascii="仿宋_GB2312" w:hAnsi="仿宋" w:eastAsia="仿宋_GB2312"/>
                <w:color w:val="auto"/>
              </w:rPr>
              <w:t>负责人：</w:t>
            </w:r>
          </w:p>
          <w:p>
            <w:pPr>
              <w:pStyle w:val="11"/>
              <w:spacing w:before="0" w:beforeAutospacing="0" w:after="0" w:afterAutospacing="0"/>
              <w:rPr>
                <w:rFonts w:hint="eastAsia" w:ascii="仿宋_GB2312" w:hAnsi="仿宋" w:eastAsia="仿宋_GB2312"/>
                <w:color w:val="auto"/>
              </w:rPr>
            </w:pPr>
          </w:p>
          <w:p>
            <w:pPr>
              <w:pStyle w:val="11"/>
              <w:spacing w:before="0" w:beforeAutospacing="0" w:after="0" w:afterAutospacing="0"/>
              <w:rPr>
                <w:rFonts w:hint="eastAsia" w:ascii="仿宋_GB2312" w:hAnsi="仿宋" w:eastAsia="仿宋_GB2312"/>
                <w:color w:val="auto"/>
              </w:rPr>
            </w:pPr>
            <w:r>
              <w:rPr>
                <w:rFonts w:hint="eastAsia" w:ascii="仿宋_GB2312" w:hAnsi="仿宋" w:eastAsia="仿宋_GB2312"/>
                <w:color w:val="auto"/>
              </w:rPr>
              <w:t xml:space="preserve">                                  </w:t>
            </w:r>
            <w:r>
              <w:rPr>
                <w:rFonts w:hint="eastAsia" w:ascii="仿宋_GB2312" w:hAnsi="仿宋" w:eastAsia="仿宋_GB2312"/>
                <w:color w:val="auto"/>
                <w:lang w:val="en-US" w:eastAsia="zh-CN"/>
              </w:rPr>
              <w:t xml:space="preserve">    </w:t>
            </w:r>
            <w:r>
              <w:rPr>
                <w:rFonts w:hint="eastAsia" w:ascii="仿宋_GB2312" w:hAnsi="仿宋" w:eastAsia="仿宋_GB2312"/>
                <w:color w:val="auto"/>
              </w:rPr>
              <w:t xml:space="preserve"> （单位盖章）</w:t>
            </w:r>
          </w:p>
          <w:p>
            <w:pPr>
              <w:pStyle w:val="11"/>
              <w:spacing w:before="0" w:beforeAutospacing="0" w:after="0" w:afterAutospacing="0"/>
              <w:rPr>
                <w:rFonts w:hint="eastAsia" w:ascii="仿宋_GB2312" w:hAnsi="仿宋" w:eastAsia="仿宋_GB2312"/>
                <w:color w:val="auto"/>
              </w:rPr>
            </w:pPr>
            <w:r>
              <w:rPr>
                <w:rFonts w:hint="eastAsia" w:ascii="仿宋_GB2312" w:hAnsi="仿宋" w:eastAsia="仿宋_GB2312"/>
                <w:color w:val="auto"/>
              </w:rPr>
              <w:t xml:space="preserve">                                       年   月   日</w:t>
            </w:r>
          </w:p>
        </w:tc>
      </w:tr>
    </w:tbl>
    <w:p>
      <w:pPr>
        <w:ind w:firstLine="489" w:firstLineChars="204"/>
        <w:rPr>
          <w:rFonts w:hint="eastAsia" w:ascii="仿宋_GB2312" w:hAnsi="仿宋" w:eastAsia="仿宋_GB2312"/>
          <w:color w:val="auto"/>
          <w:sz w:val="24"/>
        </w:rPr>
      </w:pPr>
    </w:p>
    <w:p>
      <w:pPr>
        <w:ind w:firstLine="489" w:firstLineChars="204"/>
        <w:rPr>
          <w:rFonts w:hint="eastAsia" w:ascii="仿宋_GB2312" w:hAnsi="仿宋" w:eastAsia="仿宋_GB2312"/>
          <w:color w:val="auto"/>
          <w:sz w:val="24"/>
        </w:rPr>
      </w:pPr>
      <w:r>
        <w:rPr>
          <w:rFonts w:hint="eastAsia" w:ascii="仿宋_GB2312" w:hAnsi="仿宋" w:eastAsia="仿宋_GB2312"/>
          <w:color w:val="auto"/>
          <w:sz w:val="24"/>
        </w:rPr>
        <w:t xml:space="preserve">申请日期：      年   月   日                 申办人签字： </w:t>
      </w:r>
    </w:p>
    <w:p>
      <w:pPr>
        <w:pStyle w:val="12"/>
        <w:keepNext w:val="0"/>
        <w:keepLines w:val="0"/>
        <w:pageBreakBefore w:val="0"/>
        <w:widowControl w:val="0"/>
        <w:kinsoku/>
        <w:wordWrap/>
        <w:overflowPunct/>
        <w:topLinePunct w:val="0"/>
        <w:autoSpaceDE/>
        <w:autoSpaceDN/>
        <w:bidi w:val="0"/>
        <w:adjustRightInd/>
        <w:snapToGrid/>
        <w:spacing w:before="0" w:after="240" w:line="560" w:lineRule="exact"/>
        <w:jc w:val="both"/>
        <w:textAlignment w:val="auto"/>
        <w:rPr>
          <w:rFonts w:hint="eastAsia" w:ascii="方正仿宋_GB2312" w:hAnsi="方正仿宋_GB2312" w:eastAsia="方正仿宋_GB2312" w:cs="方正仿宋_GB2312"/>
          <w:b w:val="0"/>
          <w:bCs w:val="0"/>
          <w:color w:val="auto"/>
          <w:kern w:val="0"/>
          <w:sz w:val="28"/>
          <w:szCs w:val="28"/>
          <w:lang w:val="en-US" w:eastAsia="zh-CN"/>
        </w:rPr>
      </w:pPr>
      <w:bookmarkStart w:id="3" w:name="_GoBack"/>
      <w:bookmarkEnd w:id="3"/>
      <w:r>
        <w:rPr>
          <w:rFonts w:hint="eastAsia" w:ascii="仿宋_GB2312" w:hAnsi="仿宋" w:eastAsia="仿宋_GB2312"/>
          <w:color w:val="auto"/>
          <w:sz w:val="24"/>
        </w:rPr>
        <w:br w:type="page"/>
      </w:r>
      <w:r>
        <w:rPr>
          <w:rFonts w:hint="eastAsia" w:ascii="方正仿宋_GB2312" w:hAnsi="方正仿宋_GB2312" w:eastAsia="方正仿宋_GB2312" w:cs="方正仿宋_GB2312"/>
          <w:b w:val="0"/>
          <w:bCs w:val="0"/>
          <w:color w:val="auto"/>
          <w:kern w:val="0"/>
          <w:sz w:val="28"/>
          <w:szCs w:val="28"/>
          <w:lang w:val="en-US" w:eastAsia="zh-CN"/>
        </w:rPr>
        <w:t>附表3</w:t>
      </w:r>
    </w:p>
    <w:p>
      <w:pPr>
        <w:jc w:val="center"/>
        <w:rPr>
          <w:rFonts w:hint="eastAsia" w:ascii="方正小标宋简体" w:hAnsi="Verdana" w:eastAsia="方正小标宋简体" w:cs="宋体"/>
          <w:bCs/>
          <w:color w:val="auto"/>
          <w:kern w:val="0"/>
          <w:sz w:val="44"/>
          <w:szCs w:val="44"/>
        </w:rPr>
      </w:pPr>
      <w:r>
        <w:rPr>
          <w:rFonts w:hint="eastAsia" w:ascii="方正小标宋简体" w:hAnsi="Verdana" w:eastAsia="方正小标宋简体" w:cs="宋体"/>
          <w:bCs/>
          <w:color w:val="auto"/>
          <w:kern w:val="0"/>
          <w:sz w:val="44"/>
          <w:szCs w:val="44"/>
          <w:lang w:val="en-US" w:eastAsia="zh-CN"/>
        </w:rPr>
        <w:t>零售网点</w:t>
      </w:r>
      <w:r>
        <w:rPr>
          <w:rFonts w:hint="eastAsia" w:ascii="方正小标宋简体" w:hAnsi="Verdana" w:eastAsia="方正小标宋简体" w:cs="宋体"/>
          <w:bCs/>
          <w:color w:val="auto"/>
          <w:kern w:val="0"/>
          <w:sz w:val="44"/>
          <w:szCs w:val="44"/>
        </w:rPr>
        <w:t>原址改（扩）建申请表</w:t>
      </w:r>
    </w:p>
    <w:p>
      <w:pPr>
        <w:ind w:hanging="1"/>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 xml:space="preserve">申请单位（盖章）：                        日期：        年  </w:t>
      </w:r>
      <w:r>
        <w:rPr>
          <w:rFonts w:hint="eastAsia" w:ascii="方正仿宋_GB2312" w:hAnsi="方正仿宋_GB2312" w:eastAsia="方正仿宋_GB2312" w:cs="方正仿宋_GB2312"/>
          <w:color w:val="auto"/>
          <w:kern w:val="0"/>
          <w:sz w:val="24"/>
          <w:szCs w:val="24"/>
          <w:lang w:val="en-US" w:eastAsia="zh-CN"/>
        </w:rPr>
        <w:t xml:space="preserve">   </w:t>
      </w:r>
      <w:r>
        <w:rPr>
          <w:rFonts w:hint="eastAsia" w:ascii="方正仿宋_GB2312" w:hAnsi="方正仿宋_GB2312" w:eastAsia="方正仿宋_GB2312" w:cs="方正仿宋_GB2312"/>
          <w:color w:val="auto"/>
          <w:kern w:val="0"/>
          <w:sz w:val="24"/>
          <w:szCs w:val="24"/>
        </w:rPr>
        <w:t xml:space="preserve">月 </w:t>
      </w:r>
      <w:r>
        <w:rPr>
          <w:rFonts w:hint="eastAsia" w:ascii="方正仿宋_GB2312" w:hAnsi="方正仿宋_GB2312" w:eastAsia="方正仿宋_GB2312" w:cs="方正仿宋_GB2312"/>
          <w:color w:val="auto"/>
          <w:kern w:val="0"/>
          <w:sz w:val="24"/>
          <w:szCs w:val="24"/>
          <w:lang w:val="en-US" w:eastAsia="zh-CN"/>
        </w:rPr>
        <w:t xml:space="preserve"> </w:t>
      </w:r>
      <w:r>
        <w:rPr>
          <w:rFonts w:hint="eastAsia" w:ascii="方正仿宋_GB2312" w:hAnsi="方正仿宋_GB2312" w:eastAsia="方正仿宋_GB2312" w:cs="方正仿宋_GB2312"/>
          <w:color w:val="auto"/>
          <w:kern w:val="0"/>
          <w:sz w:val="24"/>
          <w:szCs w:val="24"/>
        </w:rPr>
        <w:t xml:space="preserve">  日</w:t>
      </w:r>
    </w:p>
    <w:tbl>
      <w:tblPr>
        <w:tblStyle w:val="1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18"/>
        <w:gridCol w:w="1134"/>
        <w:gridCol w:w="1248"/>
        <w:gridCol w:w="1418"/>
        <w:gridCol w:w="172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276" w:type="dxa"/>
            <w:noWrap w:val="0"/>
            <w:vAlign w:val="center"/>
          </w:tcPr>
          <w:p>
            <w:pPr>
              <w:jc w:val="center"/>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企业名称</w:t>
            </w:r>
          </w:p>
        </w:tc>
        <w:tc>
          <w:tcPr>
            <w:tcW w:w="3800" w:type="dxa"/>
            <w:gridSpan w:val="3"/>
            <w:noWrap w:val="0"/>
            <w:vAlign w:val="center"/>
          </w:tcPr>
          <w:p>
            <w:pPr>
              <w:jc w:val="center"/>
              <w:rPr>
                <w:rFonts w:hint="eastAsia" w:ascii="方正仿宋_GB2312" w:hAnsi="方正仿宋_GB2312" w:eastAsia="方正仿宋_GB2312" w:cs="方正仿宋_GB2312"/>
                <w:color w:val="auto"/>
                <w:kern w:val="0"/>
                <w:sz w:val="24"/>
                <w:szCs w:val="24"/>
              </w:rPr>
            </w:pPr>
          </w:p>
        </w:tc>
        <w:tc>
          <w:tcPr>
            <w:tcW w:w="1418" w:type="dxa"/>
            <w:noWrap w:val="0"/>
            <w:vAlign w:val="center"/>
          </w:tcPr>
          <w:p>
            <w:pPr>
              <w:jc w:val="center"/>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法定代表人</w:t>
            </w:r>
          </w:p>
        </w:tc>
        <w:tc>
          <w:tcPr>
            <w:tcW w:w="3146" w:type="dxa"/>
            <w:gridSpan w:val="2"/>
            <w:noWrap w:val="0"/>
            <w:vAlign w:val="center"/>
          </w:tcPr>
          <w:p>
            <w:pPr>
              <w:jc w:val="center"/>
              <w:rPr>
                <w:rFonts w:hint="eastAsia" w:ascii="方正仿宋_GB2312" w:hAnsi="方正仿宋_GB2312" w:eastAsia="方正仿宋_GB2312" w:cs="方正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jc w:val="center"/>
        </w:trPr>
        <w:tc>
          <w:tcPr>
            <w:tcW w:w="1276" w:type="dxa"/>
            <w:noWrap w:val="0"/>
            <w:vAlign w:val="center"/>
          </w:tcPr>
          <w:p>
            <w:pPr>
              <w:jc w:val="center"/>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地    址</w:t>
            </w:r>
          </w:p>
        </w:tc>
        <w:tc>
          <w:tcPr>
            <w:tcW w:w="3800" w:type="dxa"/>
            <w:gridSpan w:val="3"/>
            <w:noWrap w:val="0"/>
            <w:vAlign w:val="center"/>
          </w:tcPr>
          <w:p>
            <w:pPr>
              <w:jc w:val="center"/>
              <w:rPr>
                <w:rFonts w:hint="eastAsia" w:ascii="方正仿宋_GB2312" w:hAnsi="方正仿宋_GB2312" w:eastAsia="方正仿宋_GB2312" w:cs="方正仿宋_GB2312"/>
                <w:color w:val="auto"/>
                <w:kern w:val="0"/>
                <w:sz w:val="24"/>
                <w:szCs w:val="24"/>
              </w:rPr>
            </w:pPr>
          </w:p>
        </w:tc>
        <w:tc>
          <w:tcPr>
            <w:tcW w:w="1418" w:type="dxa"/>
            <w:noWrap w:val="0"/>
            <w:vAlign w:val="center"/>
          </w:tcPr>
          <w:p>
            <w:pPr>
              <w:jc w:val="center"/>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邮政编码</w:t>
            </w:r>
          </w:p>
        </w:tc>
        <w:tc>
          <w:tcPr>
            <w:tcW w:w="3146" w:type="dxa"/>
            <w:gridSpan w:val="2"/>
            <w:noWrap w:val="0"/>
            <w:vAlign w:val="center"/>
          </w:tcPr>
          <w:p>
            <w:pPr>
              <w:jc w:val="center"/>
              <w:rPr>
                <w:rFonts w:hint="eastAsia" w:ascii="方正仿宋_GB2312" w:hAnsi="方正仿宋_GB2312" w:eastAsia="方正仿宋_GB2312" w:cs="方正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276" w:type="dxa"/>
            <w:noWrap w:val="0"/>
            <w:vAlign w:val="center"/>
          </w:tcPr>
          <w:p>
            <w:pPr>
              <w:jc w:val="center"/>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联系人</w:t>
            </w:r>
          </w:p>
        </w:tc>
        <w:tc>
          <w:tcPr>
            <w:tcW w:w="3800" w:type="dxa"/>
            <w:gridSpan w:val="3"/>
            <w:noWrap w:val="0"/>
            <w:vAlign w:val="center"/>
          </w:tcPr>
          <w:p>
            <w:pPr>
              <w:jc w:val="center"/>
              <w:rPr>
                <w:rFonts w:hint="eastAsia" w:ascii="方正仿宋_GB2312" w:hAnsi="方正仿宋_GB2312" w:eastAsia="方正仿宋_GB2312" w:cs="方正仿宋_GB2312"/>
                <w:color w:val="auto"/>
                <w:kern w:val="0"/>
                <w:sz w:val="24"/>
                <w:szCs w:val="24"/>
              </w:rPr>
            </w:pPr>
          </w:p>
        </w:tc>
        <w:tc>
          <w:tcPr>
            <w:tcW w:w="1418" w:type="dxa"/>
            <w:noWrap w:val="0"/>
            <w:vAlign w:val="center"/>
          </w:tcPr>
          <w:p>
            <w:pPr>
              <w:jc w:val="center"/>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联系电话</w:t>
            </w:r>
          </w:p>
        </w:tc>
        <w:tc>
          <w:tcPr>
            <w:tcW w:w="3146" w:type="dxa"/>
            <w:gridSpan w:val="2"/>
            <w:noWrap w:val="0"/>
            <w:vAlign w:val="center"/>
          </w:tcPr>
          <w:p>
            <w:pPr>
              <w:jc w:val="center"/>
              <w:rPr>
                <w:rFonts w:hint="eastAsia" w:ascii="方正仿宋_GB2312" w:hAnsi="方正仿宋_GB2312" w:eastAsia="方正仿宋_GB2312" w:cs="方正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1276" w:type="dxa"/>
            <w:noWrap w:val="0"/>
            <w:vAlign w:val="center"/>
          </w:tcPr>
          <w:p>
            <w:pPr>
              <w:jc w:val="center"/>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主管部门</w:t>
            </w:r>
          </w:p>
        </w:tc>
        <w:tc>
          <w:tcPr>
            <w:tcW w:w="3800" w:type="dxa"/>
            <w:gridSpan w:val="3"/>
            <w:noWrap w:val="0"/>
            <w:vAlign w:val="center"/>
          </w:tcPr>
          <w:p>
            <w:pPr>
              <w:jc w:val="center"/>
              <w:rPr>
                <w:rFonts w:hint="eastAsia" w:ascii="方正仿宋_GB2312" w:hAnsi="方正仿宋_GB2312" w:eastAsia="方正仿宋_GB2312" w:cs="方正仿宋_GB2312"/>
                <w:color w:val="auto"/>
                <w:kern w:val="0"/>
                <w:sz w:val="24"/>
                <w:szCs w:val="24"/>
              </w:rPr>
            </w:pPr>
          </w:p>
        </w:tc>
        <w:tc>
          <w:tcPr>
            <w:tcW w:w="1418" w:type="dxa"/>
            <w:noWrap w:val="0"/>
            <w:vAlign w:val="center"/>
          </w:tcPr>
          <w:p>
            <w:pPr>
              <w:jc w:val="center"/>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企业性质</w:t>
            </w:r>
          </w:p>
        </w:tc>
        <w:tc>
          <w:tcPr>
            <w:tcW w:w="3146" w:type="dxa"/>
            <w:gridSpan w:val="2"/>
            <w:noWrap w:val="0"/>
            <w:vAlign w:val="center"/>
          </w:tcPr>
          <w:p>
            <w:pPr>
              <w:jc w:val="center"/>
              <w:rPr>
                <w:rFonts w:hint="eastAsia" w:ascii="方正仿宋_GB2312" w:hAnsi="方正仿宋_GB2312" w:eastAsia="方正仿宋_GB2312" w:cs="方正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2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改扩建加油站情况</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站    名</w:t>
            </w:r>
          </w:p>
        </w:tc>
        <w:tc>
          <w:tcPr>
            <w:tcW w:w="238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地   址</w:t>
            </w:r>
          </w:p>
        </w:tc>
        <w:tc>
          <w:tcPr>
            <w:tcW w:w="31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2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加油站面积（平方米）</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c>
          <w:tcPr>
            <w:tcW w:w="12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投资金额（万元）</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c>
          <w:tcPr>
            <w:tcW w:w="17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加油机数量（台）</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2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雨棚面积（平方米）</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c>
          <w:tcPr>
            <w:tcW w:w="12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油罐个数（个）</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c>
          <w:tcPr>
            <w:tcW w:w="17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油罐总容量（立方米）</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从业人员</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c>
          <w:tcPr>
            <w:tcW w:w="238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专业技术人员</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c>
          <w:tcPr>
            <w:tcW w:w="17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预计年销售量（吨）</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2312" w:hAnsi="方正仿宋_GB2312" w:eastAsia="方正仿宋_GB2312" w:cs="方正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4" w:hRule="atLeast"/>
          <w:jc w:val="center"/>
        </w:trPr>
        <w:tc>
          <w:tcPr>
            <w:tcW w:w="1276" w:type="dxa"/>
            <w:noWrap w:val="0"/>
            <w:vAlign w:val="center"/>
          </w:tcPr>
          <w:p>
            <w:pPr>
              <w:spacing w:line="240" w:lineRule="exact"/>
              <w:jc w:val="center"/>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县级商务主管部门意见</w:t>
            </w:r>
          </w:p>
        </w:tc>
        <w:tc>
          <w:tcPr>
            <w:tcW w:w="8364" w:type="dxa"/>
            <w:gridSpan w:val="6"/>
            <w:noWrap w:val="0"/>
            <w:vAlign w:val="center"/>
          </w:tcPr>
          <w:p>
            <w:pPr>
              <w:spacing w:line="240" w:lineRule="exact"/>
              <w:jc w:val="right"/>
              <w:rPr>
                <w:rFonts w:hint="eastAsia" w:ascii="方正仿宋_GB2312" w:hAnsi="方正仿宋_GB2312" w:eastAsia="方正仿宋_GB2312" w:cs="方正仿宋_GB2312"/>
                <w:color w:val="auto"/>
                <w:kern w:val="0"/>
                <w:sz w:val="24"/>
                <w:szCs w:val="24"/>
              </w:rPr>
            </w:pPr>
          </w:p>
          <w:p>
            <w:pPr>
              <w:spacing w:line="240" w:lineRule="exact"/>
              <w:jc w:val="right"/>
              <w:rPr>
                <w:rFonts w:hint="eastAsia" w:ascii="方正仿宋_GB2312" w:hAnsi="方正仿宋_GB2312" w:eastAsia="方正仿宋_GB2312" w:cs="方正仿宋_GB2312"/>
                <w:color w:val="auto"/>
                <w:kern w:val="0"/>
                <w:sz w:val="24"/>
                <w:szCs w:val="24"/>
              </w:rPr>
            </w:pPr>
          </w:p>
          <w:p>
            <w:pPr>
              <w:spacing w:line="240" w:lineRule="exact"/>
              <w:jc w:val="right"/>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 xml:space="preserve">年  </w:t>
            </w:r>
            <w:r>
              <w:rPr>
                <w:rFonts w:hint="eastAsia" w:ascii="方正仿宋_GB2312" w:hAnsi="方正仿宋_GB2312" w:eastAsia="方正仿宋_GB2312" w:cs="方正仿宋_GB2312"/>
                <w:color w:val="auto"/>
                <w:kern w:val="0"/>
                <w:sz w:val="24"/>
                <w:szCs w:val="24"/>
                <w:lang w:val="en-US" w:eastAsia="zh-CN"/>
              </w:rPr>
              <w:t xml:space="preserve"> </w:t>
            </w:r>
            <w:r>
              <w:rPr>
                <w:rFonts w:hint="eastAsia" w:ascii="方正仿宋_GB2312" w:hAnsi="方正仿宋_GB2312" w:eastAsia="方正仿宋_GB2312" w:cs="方正仿宋_GB2312"/>
                <w:color w:val="auto"/>
                <w:kern w:val="0"/>
                <w:sz w:val="24"/>
                <w:szCs w:val="24"/>
              </w:rPr>
              <w:t xml:space="preserve">  月 </w:t>
            </w:r>
            <w:r>
              <w:rPr>
                <w:rFonts w:hint="eastAsia" w:ascii="方正仿宋_GB2312" w:hAnsi="方正仿宋_GB2312" w:eastAsia="方正仿宋_GB2312" w:cs="方正仿宋_GB2312"/>
                <w:color w:val="auto"/>
                <w:kern w:val="0"/>
                <w:sz w:val="24"/>
                <w:szCs w:val="24"/>
                <w:lang w:val="en-US" w:eastAsia="zh-CN"/>
              </w:rPr>
              <w:t xml:space="preserve"> </w:t>
            </w:r>
            <w:r>
              <w:rPr>
                <w:rFonts w:hint="eastAsia" w:ascii="方正仿宋_GB2312" w:hAnsi="方正仿宋_GB2312" w:eastAsia="方正仿宋_GB2312" w:cs="方正仿宋_GB2312"/>
                <w:color w:val="auto"/>
                <w:kern w:val="0"/>
                <w:sz w:val="24"/>
                <w:szCs w:val="24"/>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9" w:hRule="atLeast"/>
          <w:jc w:val="center"/>
        </w:trPr>
        <w:tc>
          <w:tcPr>
            <w:tcW w:w="1276" w:type="dxa"/>
            <w:noWrap w:val="0"/>
            <w:vAlign w:val="center"/>
          </w:tcPr>
          <w:p>
            <w:pPr>
              <w:spacing w:line="240" w:lineRule="exact"/>
              <w:jc w:val="center"/>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市级商务主管部门意见</w:t>
            </w:r>
          </w:p>
        </w:tc>
        <w:tc>
          <w:tcPr>
            <w:tcW w:w="8364" w:type="dxa"/>
            <w:gridSpan w:val="6"/>
            <w:noWrap w:val="0"/>
            <w:vAlign w:val="center"/>
          </w:tcPr>
          <w:p>
            <w:pPr>
              <w:spacing w:line="240" w:lineRule="exact"/>
              <w:jc w:val="center"/>
              <w:rPr>
                <w:rFonts w:hint="eastAsia" w:ascii="方正仿宋_GB2312" w:hAnsi="方正仿宋_GB2312" w:eastAsia="方正仿宋_GB2312" w:cs="方正仿宋_GB2312"/>
                <w:color w:val="auto"/>
                <w:kern w:val="0"/>
                <w:sz w:val="24"/>
                <w:szCs w:val="24"/>
              </w:rPr>
            </w:pPr>
          </w:p>
          <w:p>
            <w:pPr>
              <w:spacing w:line="240" w:lineRule="exact"/>
              <w:jc w:val="right"/>
              <w:rPr>
                <w:rFonts w:hint="eastAsia" w:ascii="方正仿宋_GB2312" w:hAnsi="方正仿宋_GB2312" w:eastAsia="方正仿宋_GB2312" w:cs="方正仿宋_GB2312"/>
                <w:color w:val="auto"/>
                <w:kern w:val="0"/>
                <w:sz w:val="24"/>
                <w:szCs w:val="24"/>
              </w:rPr>
            </w:pPr>
          </w:p>
          <w:p>
            <w:pPr>
              <w:spacing w:line="240" w:lineRule="exact"/>
              <w:jc w:val="right"/>
              <w:rPr>
                <w:rFonts w:hint="eastAsia" w:ascii="方正仿宋_GB2312" w:hAnsi="方正仿宋_GB2312" w:eastAsia="方正仿宋_GB2312" w:cs="方正仿宋_GB2312"/>
                <w:color w:val="auto"/>
                <w:kern w:val="0"/>
                <w:sz w:val="24"/>
                <w:szCs w:val="24"/>
              </w:rPr>
            </w:pPr>
            <w:r>
              <w:rPr>
                <w:rFonts w:hint="eastAsia" w:ascii="方正仿宋_GB2312" w:hAnsi="方正仿宋_GB2312" w:eastAsia="方正仿宋_GB2312" w:cs="方正仿宋_GB2312"/>
                <w:color w:val="auto"/>
                <w:kern w:val="0"/>
                <w:sz w:val="24"/>
                <w:szCs w:val="24"/>
              </w:rPr>
              <w:t xml:space="preserve">年 </w:t>
            </w:r>
            <w:r>
              <w:rPr>
                <w:rFonts w:hint="eastAsia" w:ascii="方正仿宋_GB2312" w:hAnsi="方正仿宋_GB2312" w:eastAsia="方正仿宋_GB2312" w:cs="方正仿宋_GB2312"/>
                <w:color w:val="auto"/>
                <w:kern w:val="0"/>
                <w:sz w:val="24"/>
                <w:szCs w:val="24"/>
                <w:lang w:val="en-US" w:eastAsia="zh-CN"/>
              </w:rPr>
              <w:t xml:space="preserve"> </w:t>
            </w:r>
            <w:r>
              <w:rPr>
                <w:rFonts w:hint="eastAsia" w:ascii="方正仿宋_GB2312" w:hAnsi="方正仿宋_GB2312" w:eastAsia="方正仿宋_GB2312" w:cs="方正仿宋_GB2312"/>
                <w:color w:val="auto"/>
                <w:kern w:val="0"/>
                <w:sz w:val="24"/>
                <w:szCs w:val="24"/>
              </w:rPr>
              <w:t xml:space="preserve">   月  </w:t>
            </w:r>
            <w:r>
              <w:rPr>
                <w:rFonts w:hint="eastAsia" w:ascii="方正仿宋_GB2312" w:hAnsi="方正仿宋_GB2312" w:eastAsia="方正仿宋_GB2312" w:cs="方正仿宋_GB2312"/>
                <w:color w:val="auto"/>
                <w:kern w:val="0"/>
                <w:sz w:val="24"/>
                <w:szCs w:val="24"/>
                <w:lang w:val="en-US" w:eastAsia="zh-CN"/>
              </w:rPr>
              <w:t xml:space="preserve"> </w:t>
            </w:r>
            <w:r>
              <w:rPr>
                <w:rFonts w:hint="eastAsia" w:ascii="方正仿宋_GB2312" w:hAnsi="方正仿宋_GB2312" w:eastAsia="方正仿宋_GB2312" w:cs="方正仿宋_GB2312"/>
                <w:color w:val="auto"/>
                <w:kern w:val="0"/>
                <w:sz w:val="24"/>
                <w:szCs w:val="24"/>
              </w:rPr>
              <w:t xml:space="preserve"> 日</w:t>
            </w:r>
          </w:p>
        </w:tc>
      </w:tr>
    </w:tbl>
    <w:p>
      <w:pPr>
        <w:pStyle w:val="7"/>
        <w:ind w:firstLine="0" w:firstLineChars="0"/>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注：专业技术人员指技术监督部门认可的石油行业专业技术人员，如检验、计量、储运等专业技术人员。</w:t>
      </w:r>
    </w:p>
    <w:p>
      <w:pPr>
        <w:pStyle w:val="12"/>
        <w:keepNext w:val="0"/>
        <w:keepLines w:val="0"/>
        <w:pageBreakBefore w:val="0"/>
        <w:widowControl w:val="0"/>
        <w:kinsoku/>
        <w:wordWrap/>
        <w:overflowPunct/>
        <w:topLinePunct w:val="0"/>
        <w:autoSpaceDE/>
        <w:autoSpaceDN/>
        <w:bidi w:val="0"/>
        <w:adjustRightInd/>
        <w:snapToGrid/>
        <w:spacing w:before="0" w:after="240" w:line="560" w:lineRule="exact"/>
        <w:jc w:val="both"/>
        <w:textAlignment w:val="auto"/>
        <w:rPr>
          <w:rFonts w:hint="eastAsia" w:ascii="方正仿宋_GB2312" w:hAnsi="方正仿宋_GB2312" w:eastAsia="方正仿宋_GB2312" w:cs="方正仿宋_GB2312"/>
          <w:b w:val="0"/>
          <w:bCs w:val="0"/>
          <w:color w:val="auto"/>
          <w:kern w:val="0"/>
          <w:sz w:val="28"/>
          <w:szCs w:val="28"/>
          <w:lang w:val="en-US" w:eastAsia="zh-CN"/>
        </w:rPr>
      </w:pPr>
      <w:r>
        <w:rPr>
          <w:rFonts w:hint="eastAsia" w:ascii="方正仿宋_GB2312" w:hAnsi="方正仿宋_GB2312" w:eastAsia="方正仿宋_GB2312" w:cs="方正仿宋_GB2312"/>
          <w:color w:val="auto"/>
          <w:sz w:val="24"/>
          <w:szCs w:val="24"/>
        </w:rPr>
        <w:br w:type="page"/>
      </w:r>
      <w:r>
        <w:rPr>
          <w:rFonts w:hint="eastAsia" w:ascii="方正仿宋_GB2312" w:hAnsi="方正仿宋_GB2312" w:eastAsia="方正仿宋_GB2312" w:cs="方正仿宋_GB2312"/>
          <w:b w:val="0"/>
          <w:bCs w:val="0"/>
          <w:color w:val="auto"/>
          <w:kern w:val="0"/>
          <w:sz w:val="28"/>
          <w:szCs w:val="28"/>
          <w:lang w:val="en-US" w:eastAsia="zh-CN"/>
        </w:rPr>
        <w:t>附表4</w:t>
      </w:r>
    </w:p>
    <w:p>
      <w:pPr>
        <w:spacing w:after="156" w:afterLines="50" w:line="600" w:lineRule="exact"/>
        <w:jc w:val="center"/>
        <w:rPr>
          <w:rFonts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color w:val="auto"/>
          <w:kern w:val="0"/>
          <w:sz w:val="44"/>
          <w:szCs w:val="44"/>
        </w:rPr>
        <w:t>成品油零售经营企业暂时歇业/注销申请表</w:t>
      </w:r>
    </w:p>
    <w:p>
      <w:pPr>
        <w:widowControl/>
        <w:spacing w:line="360" w:lineRule="auto"/>
        <w:jc w:val="center"/>
        <w:rPr>
          <w:rFonts w:hint="eastAsia" w:ascii="仿宋_GB2312" w:eastAsia="仿宋_GB2312"/>
          <w:color w:val="auto"/>
          <w:kern w:val="0"/>
          <w:sz w:val="24"/>
        </w:rPr>
      </w:pPr>
      <w:r>
        <w:rPr>
          <w:rFonts w:hint="eastAsia" w:ascii="仿宋_GB2312" w:hAnsi="宋体" w:eastAsia="仿宋_GB2312"/>
          <w:color w:val="auto"/>
          <w:sz w:val="24"/>
        </w:rPr>
        <w:t xml:space="preserve">申报企业（盖章）：                     申报日期：   </w:t>
      </w:r>
      <w:r>
        <w:rPr>
          <w:rFonts w:hint="eastAsia" w:ascii="仿宋_GB2312" w:hAnsi="宋体" w:eastAsia="仿宋_GB2312"/>
          <w:color w:val="auto"/>
          <w:sz w:val="24"/>
          <w:lang w:val="en-US" w:eastAsia="zh-CN"/>
        </w:rPr>
        <w:t xml:space="preserve"> </w:t>
      </w:r>
      <w:r>
        <w:rPr>
          <w:rFonts w:hint="eastAsia" w:ascii="仿宋_GB2312" w:hAnsi="宋体" w:eastAsia="仿宋_GB2312"/>
          <w:color w:val="auto"/>
          <w:sz w:val="24"/>
        </w:rPr>
        <w:t xml:space="preserve">  年 </w:t>
      </w:r>
      <w:r>
        <w:rPr>
          <w:rFonts w:hint="eastAsia" w:ascii="仿宋_GB2312" w:hAnsi="宋体" w:eastAsia="仿宋_GB2312"/>
          <w:color w:val="auto"/>
          <w:sz w:val="24"/>
          <w:lang w:val="en-US" w:eastAsia="zh-CN"/>
        </w:rPr>
        <w:t xml:space="preserve">   </w:t>
      </w:r>
      <w:r>
        <w:rPr>
          <w:rFonts w:hint="eastAsia" w:ascii="仿宋_GB2312" w:hAnsi="宋体" w:eastAsia="仿宋_GB2312"/>
          <w:color w:val="auto"/>
          <w:sz w:val="24"/>
        </w:rPr>
        <w:t xml:space="preserve"> 月  </w:t>
      </w:r>
      <w:r>
        <w:rPr>
          <w:rFonts w:hint="eastAsia" w:ascii="仿宋_GB2312" w:hAnsi="宋体" w:eastAsia="仿宋_GB2312"/>
          <w:color w:val="auto"/>
          <w:sz w:val="24"/>
          <w:lang w:val="en-US" w:eastAsia="zh-CN"/>
        </w:rPr>
        <w:t xml:space="preserve">   </w:t>
      </w:r>
      <w:r>
        <w:rPr>
          <w:rFonts w:hint="eastAsia" w:ascii="仿宋_GB2312" w:hAnsi="宋体" w:eastAsia="仿宋_GB2312"/>
          <w:color w:val="auto"/>
          <w:sz w:val="24"/>
        </w:rPr>
        <w:t>日</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292"/>
        <w:gridCol w:w="2623"/>
        <w:gridCol w:w="1641"/>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51" w:type="dxa"/>
            <w:noWrap w:val="0"/>
            <w:vAlign w:val="center"/>
          </w:tcPr>
          <w:p>
            <w:pPr>
              <w:pStyle w:val="11"/>
              <w:spacing w:before="0" w:beforeAutospacing="0" w:after="0" w:afterAutospacing="0" w:line="400" w:lineRule="exact"/>
              <w:jc w:val="center"/>
              <w:rPr>
                <w:rFonts w:ascii="Times New Roman" w:hAnsi="Times New Roman" w:eastAsia="仿宋_GB2312"/>
                <w:color w:val="auto"/>
                <w:szCs w:val="18"/>
              </w:rPr>
            </w:pPr>
            <w:r>
              <w:rPr>
                <w:rFonts w:hint="eastAsia" w:ascii="Times New Roman" w:hAnsi="Times New Roman" w:eastAsia="仿宋_GB2312"/>
                <w:color w:val="auto"/>
                <w:szCs w:val="18"/>
              </w:rPr>
              <w:t>加油站名称</w:t>
            </w:r>
          </w:p>
        </w:tc>
        <w:tc>
          <w:tcPr>
            <w:tcW w:w="7409" w:type="dxa"/>
            <w:gridSpan w:val="4"/>
            <w:noWrap w:val="0"/>
            <w:vAlign w:val="center"/>
          </w:tcPr>
          <w:p>
            <w:pPr>
              <w:pStyle w:val="11"/>
              <w:spacing w:before="0" w:beforeAutospacing="0" w:after="0" w:afterAutospacing="0" w:line="400" w:lineRule="exact"/>
              <w:ind w:firstLine="489" w:firstLineChars="204"/>
              <w:jc w:val="center"/>
              <w:rPr>
                <w:rFonts w:ascii="Times New Roman" w:hAnsi="Times New Roman" w:eastAsia="仿宋_GB2312"/>
                <w:color w:val="auto"/>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51" w:type="dxa"/>
            <w:noWrap w:val="0"/>
            <w:vAlign w:val="center"/>
          </w:tcPr>
          <w:p>
            <w:pPr>
              <w:pStyle w:val="11"/>
              <w:spacing w:before="0" w:beforeAutospacing="0" w:after="0" w:afterAutospacing="0" w:line="400" w:lineRule="exact"/>
              <w:jc w:val="center"/>
              <w:rPr>
                <w:rFonts w:hint="eastAsia" w:ascii="Times New Roman" w:hAnsi="Times New Roman" w:eastAsia="仿宋_GB2312"/>
                <w:color w:val="auto"/>
                <w:szCs w:val="18"/>
              </w:rPr>
            </w:pPr>
            <w:r>
              <w:rPr>
                <w:rFonts w:hint="eastAsia" w:ascii="Times New Roman" w:hAnsi="Times New Roman" w:eastAsia="仿宋_GB2312"/>
                <w:color w:val="auto"/>
                <w:szCs w:val="18"/>
              </w:rPr>
              <w:t>经营地址</w:t>
            </w:r>
          </w:p>
        </w:tc>
        <w:tc>
          <w:tcPr>
            <w:tcW w:w="7409" w:type="dxa"/>
            <w:gridSpan w:val="4"/>
            <w:noWrap w:val="0"/>
            <w:vAlign w:val="center"/>
          </w:tcPr>
          <w:p>
            <w:pPr>
              <w:pStyle w:val="11"/>
              <w:spacing w:before="0" w:beforeAutospacing="0" w:after="0" w:afterAutospacing="0" w:line="400" w:lineRule="exact"/>
              <w:ind w:firstLine="489" w:firstLineChars="204"/>
              <w:jc w:val="center"/>
              <w:rPr>
                <w:rFonts w:ascii="Times New Roman" w:hAnsi="Times New Roman" w:eastAsia="仿宋_GB2312"/>
                <w:color w:val="auto"/>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51" w:type="dxa"/>
            <w:noWrap w:val="0"/>
            <w:vAlign w:val="center"/>
          </w:tcPr>
          <w:p>
            <w:pPr>
              <w:pStyle w:val="11"/>
              <w:spacing w:before="0" w:beforeAutospacing="0" w:after="0" w:afterAutospacing="0" w:line="360" w:lineRule="exact"/>
              <w:jc w:val="center"/>
              <w:rPr>
                <w:rFonts w:ascii="Times New Roman" w:hAnsi="Times New Roman" w:eastAsia="仿宋_GB2312"/>
                <w:color w:val="auto"/>
                <w:szCs w:val="18"/>
              </w:rPr>
            </w:pPr>
            <w:r>
              <w:rPr>
                <w:rFonts w:hint="eastAsia" w:ascii="Times New Roman" w:hAnsi="Times New Roman" w:eastAsia="仿宋_GB2312"/>
                <w:color w:val="auto"/>
                <w:szCs w:val="18"/>
              </w:rPr>
              <w:t>经营批准</w:t>
            </w:r>
          </w:p>
          <w:p>
            <w:pPr>
              <w:pStyle w:val="11"/>
              <w:spacing w:before="0" w:beforeAutospacing="0" w:after="0" w:afterAutospacing="0" w:line="360" w:lineRule="exact"/>
              <w:jc w:val="center"/>
              <w:rPr>
                <w:rFonts w:ascii="Times New Roman" w:hAnsi="Times New Roman" w:eastAsia="仿宋_GB2312"/>
                <w:color w:val="auto"/>
                <w:szCs w:val="18"/>
              </w:rPr>
            </w:pPr>
            <w:r>
              <w:rPr>
                <w:rFonts w:hint="eastAsia" w:ascii="Times New Roman" w:hAnsi="Times New Roman" w:eastAsia="仿宋_GB2312"/>
                <w:color w:val="auto"/>
                <w:szCs w:val="18"/>
              </w:rPr>
              <w:t>证书编号</w:t>
            </w:r>
          </w:p>
        </w:tc>
        <w:tc>
          <w:tcPr>
            <w:tcW w:w="3915" w:type="dxa"/>
            <w:gridSpan w:val="2"/>
            <w:noWrap w:val="0"/>
            <w:vAlign w:val="center"/>
          </w:tcPr>
          <w:p>
            <w:pPr>
              <w:pStyle w:val="11"/>
              <w:spacing w:before="0" w:beforeAutospacing="0" w:after="0" w:afterAutospacing="0" w:line="400" w:lineRule="exact"/>
              <w:ind w:firstLine="489" w:firstLineChars="204"/>
              <w:jc w:val="center"/>
              <w:rPr>
                <w:rFonts w:ascii="Times New Roman" w:hAnsi="Times New Roman" w:eastAsia="仿宋_GB2312"/>
                <w:color w:val="auto"/>
                <w:szCs w:val="18"/>
              </w:rPr>
            </w:pPr>
          </w:p>
        </w:tc>
        <w:tc>
          <w:tcPr>
            <w:tcW w:w="1641" w:type="dxa"/>
            <w:noWrap w:val="0"/>
            <w:vAlign w:val="center"/>
          </w:tcPr>
          <w:p>
            <w:pPr>
              <w:pStyle w:val="11"/>
              <w:spacing w:before="0" w:beforeAutospacing="0" w:after="0" w:afterAutospacing="0" w:line="400" w:lineRule="exact"/>
              <w:jc w:val="center"/>
              <w:rPr>
                <w:rFonts w:ascii="Times New Roman" w:hAnsi="Times New Roman" w:eastAsia="仿宋_GB2312"/>
                <w:color w:val="auto"/>
                <w:szCs w:val="18"/>
              </w:rPr>
            </w:pPr>
            <w:r>
              <w:rPr>
                <w:rFonts w:hint="eastAsia" w:ascii="Times New Roman" w:hAnsi="Times New Roman" w:eastAsia="仿宋_GB2312"/>
                <w:color w:val="auto"/>
                <w:szCs w:val="18"/>
              </w:rPr>
              <w:t>发证时间</w:t>
            </w:r>
          </w:p>
        </w:tc>
        <w:tc>
          <w:tcPr>
            <w:tcW w:w="1853" w:type="dxa"/>
            <w:noWrap w:val="0"/>
            <w:vAlign w:val="top"/>
          </w:tcPr>
          <w:p>
            <w:pPr>
              <w:pStyle w:val="11"/>
              <w:spacing w:before="0" w:beforeAutospacing="0" w:after="0" w:afterAutospacing="0" w:line="400" w:lineRule="exact"/>
              <w:ind w:firstLine="489" w:firstLineChars="204"/>
              <w:rPr>
                <w:rFonts w:ascii="Times New Roman" w:hAnsi="Times New Roman" w:eastAsia="仿宋_GB2312"/>
                <w:color w:val="auto"/>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51" w:type="dxa"/>
            <w:noWrap w:val="0"/>
            <w:vAlign w:val="center"/>
          </w:tcPr>
          <w:p>
            <w:pPr>
              <w:pStyle w:val="11"/>
              <w:spacing w:before="0" w:beforeAutospacing="0" w:after="0" w:afterAutospacing="0" w:line="400" w:lineRule="exact"/>
              <w:jc w:val="center"/>
              <w:rPr>
                <w:rFonts w:ascii="Times New Roman" w:hAnsi="Times New Roman" w:eastAsia="仿宋_GB2312"/>
                <w:color w:val="auto"/>
                <w:szCs w:val="18"/>
              </w:rPr>
            </w:pPr>
            <w:r>
              <w:rPr>
                <w:rFonts w:hint="eastAsia" w:ascii="Times New Roman" w:hAnsi="Times New Roman" w:eastAsia="仿宋_GB2312"/>
                <w:color w:val="auto"/>
                <w:szCs w:val="18"/>
              </w:rPr>
              <w:t>联系人</w:t>
            </w:r>
          </w:p>
        </w:tc>
        <w:tc>
          <w:tcPr>
            <w:tcW w:w="3915" w:type="dxa"/>
            <w:gridSpan w:val="2"/>
            <w:noWrap w:val="0"/>
            <w:vAlign w:val="center"/>
          </w:tcPr>
          <w:p>
            <w:pPr>
              <w:pStyle w:val="11"/>
              <w:spacing w:before="0" w:beforeAutospacing="0" w:after="0" w:afterAutospacing="0" w:line="400" w:lineRule="exact"/>
              <w:ind w:firstLine="489" w:firstLineChars="204"/>
              <w:jc w:val="center"/>
              <w:rPr>
                <w:rFonts w:ascii="Times New Roman" w:hAnsi="Times New Roman" w:eastAsia="仿宋_GB2312"/>
                <w:color w:val="auto"/>
                <w:szCs w:val="18"/>
              </w:rPr>
            </w:pPr>
          </w:p>
        </w:tc>
        <w:tc>
          <w:tcPr>
            <w:tcW w:w="1641" w:type="dxa"/>
            <w:noWrap w:val="0"/>
            <w:vAlign w:val="center"/>
          </w:tcPr>
          <w:p>
            <w:pPr>
              <w:pStyle w:val="11"/>
              <w:spacing w:before="0" w:beforeAutospacing="0" w:after="0" w:afterAutospacing="0" w:line="400" w:lineRule="exact"/>
              <w:jc w:val="center"/>
              <w:rPr>
                <w:rFonts w:ascii="Times New Roman" w:hAnsi="Times New Roman" w:eastAsia="仿宋_GB2312"/>
                <w:color w:val="auto"/>
                <w:szCs w:val="18"/>
              </w:rPr>
            </w:pPr>
            <w:r>
              <w:rPr>
                <w:rFonts w:hint="eastAsia" w:ascii="Times New Roman" w:hAnsi="Times New Roman" w:eastAsia="仿宋_GB2312"/>
                <w:color w:val="auto"/>
                <w:szCs w:val="18"/>
              </w:rPr>
              <w:t>联系电话</w:t>
            </w:r>
          </w:p>
        </w:tc>
        <w:tc>
          <w:tcPr>
            <w:tcW w:w="1853" w:type="dxa"/>
            <w:noWrap w:val="0"/>
            <w:vAlign w:val="top"/>
          </w:tcPr>
          <w:p>
            <w:pPr>
              <w:pStyle w:val="11"/>
              <w:spacing w:before="0" w:beforeAutospacing="0" w:after="0" w:afterAutospacing="0" w:line="400" w:lineRule="exact"/>
              <w:ind w:firstLine="489" w:firstLineChars="204"/>
              <w:rPr>
                <w:rFonts w:ascii="Times New Roman" w:hAnsi="Times New Roman" w:eastAsia="仿宋_GB2312"/>
                <w:color w:val="auto"/>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51" w:type="dxa"/>
            <w:vMerge w:val="restart"/>
            <w:noWrap w:val="0"/>
            <w:vAlign w:val="center"/>
          </w:tcPr>
          <w:p>
            <w:pPr>
              <w:pStyle w:val="11"/>
              <w:spacing w:before="0" w:beforeAutospacing="0" w:after="0" w:afterAutospacing="0" w:line="400" w:lineRule="exact"/>
              <w:ind w:firstLine="240" w:firstLineChars="100"/>
              <w:rPr>
                <w:rFonts w:ascii="Times New Roman" w:hAnsi="Times New Roman" w:eastAsia="仿宋_GB2312"/>
                <w:color w:val="auto"/>
                <w:szCs w:val="18"/>
              </w:rPr>
            </w:pPr>
            <w:r>
              <w:rPr>
                <w:rFonts w:hint="eastAsia" w:ascii="Times New Roman" w:hAnsi="Times New Roman" w:eastAsia="仿宋_GB2312"/>
                <w:color w:val="auto"/>
                <w:szCs w:val="18"/>
              </w:rPr>
              <w:t>申请事项</w:t>
            </w:r>
          </w:p>
        </w:tc>
        <w:tc>
          <w:tcPr>
            <w:tcW w:w="1292" w:type="dxa"/>
            <w:vMerge w:val="restart"/>
            <w:noWrap w:val="0"/>
            <w:vAlign w:val="center"/>
          </w:tcPr>
          <w:p>
            <w:pPr>
              <w:pStyle w:val="11"/>
              <w:spacing w:before="0" w:beforeAutospacing="0" w:after="0" w:afterAutospacing="0" w:line="500" w:lineRule="exact"/>
              <w:jc w:val="both"/>
              <w:rPr>
                <w:rFonts w:ascii="Times New Roman" w:hAnsi="Times New Roman" w:eastAsia="仿宋_GB2312"/>
                <w:color w:val="auto"/>
                <w:szCs w:val="18"/>
              </w:rPr>
            </w:pPr>
            <w:r>
              <w:rPr>
                <w:rFonts w:hint="eastAsia" w:eastAsia="仿宋_GB2312"/>
                <w:color w:val="auto"/>
              </w:rPr>
              <w:t>□</w:t>
            </w:r>
            <w:r>
              <w:rPr>
                <w:rFonts w:hint="eastAsia" w:ascii="Times New Roman" w:hAnsi="Times New Roman" w:eastAsia="仿宋_GB2312"/>
                <w:color w:val="auto"/>
                <w:szCs w:val="18"/>
              </w:rPr>
              <w:t>1.歇业</w:t>
            </w:r>
          </w:p>
        </w:tc>
        <w:tc>
          <w:tcPr>
            <w:tcW w:w="6117" w:type="dxa"/>
            <w:gridSpan w:val="3"/>
            <w:noWrap w:val="0"/>
            <w:vAlign w:val="center"/>
          </w:tcPr>
          <w:p>
            <w:pPr>
              <w:pStyle w:val="11"/>
              <w:spacing w:before="0" w:beforeAutospacing="0" w:after="0" w:afterAutospacing="0" w:line="500" w:lineRule="exact"/>
              <w:jc w:val="both"/>
              <w:rPr>
                <w:rFonts w:ascii="Times New Roman" w:hAnsi="Times New Roman" w:eastAsia="仿宋_GB2312"/>
                <w:color w:val="auto"/>
                <w:szCs w:val="18"/>
              </w:rPr>
            </w:pPr>
            <w:r>
              <w:rPr>
                <w:rFonts w:hint="eastAsia" w:ascii="Times New Roman" w:hAnsi="Times New Roman" w:eastAsia="仿宋_GB2312"/>
                <w:color w:val="auto"/>
                <w:szCs w:val="18"/>
              </w:rPr>
              <w:t>歇业原因：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51" w:type="dxa"/>
            <w:vMerge w:val="continue"/>
            <w:noWrap w:val="0"/>
            <w:vAlign w:val="center"/>
          </w:tcPr>
          <w:p>
            <w:pPr>
              <w:pStyle w:val="11"/>
              <w:spacing w:before="0" w:beforeAutospacing="0" w:after="0" w:afterAutospacing="0" w:line="400" w:lineRule="exact"/>
              <w:ind w:firstLine="240" w:firstLineChars="100"/>
              <w:rPr>
                <w:rFonts w:hint="eastAsia" w:ascii="Times New Roman" w:hAnsi="Times New Roman" w:eastAsia="仿宋_GB2312"/>
                <w:color w:val="auto"/>
                <w:szCs w:val="18"/>
              </w:rPr>
            </w:pPr>
          </w:p>
        </w:tc>
        <w:tc>
          <w:tcPr>
            <w:tcW w:w="1292" w:type="dxa"/>
            <w:vMerge w:val="continue"/>
            <w:noWrap w:val="0"/>
            <w:vAlign w:val="center"/>
          </w:tcPr>
          <w:p>
            <w:pPr>
              <w:pStyle w:val="11"/>
              <w:spacing w:before="0" w:beforeAutospacing="0" w:after="0" w:afterAutospacing="0" w:line="500" w:lineRule="exact"/>
              <w:ind w:firstLine="218" w:firstLineChars="91"/>
              <w:jc w:val="both"/>
              <w:rPr>
                <w:rFonts w:hint="eastAsia" w:ascii="Times New Roman" w:hAnsi="Times New Roman" w:eastAsia="仿宋_GB2312"/>
                <w:color w:val="auto"/>
                <w:szCs w:val="18"/>
              </w:rPr>
            </w:pPr>
          </w:p>
        </w:tc>
        <w:tc>
          <w:tcPr>
            <w:tcW w:w="6117" w:type="dxa"/>
            <w:gridSpan w:val="3"/>
            <w:noWrap w:val="0"/>
            <w:vAlign w:val="center"/>
          </w:tcPr>
          <w:p>
            <w:pPr>
              <w:pStyle w:val="11"/>
              <w:spacing w:before="0" w:beforeAutospacing="0" w:after="0" w:afterAutospacing="0" w:line="500" w:lineRule="exact"/>
              <w:jc w:val="both"/>
              <w:rPr>
                <w:rFonts w:hint="eastAsia" w:ascii="Times New Roman" w:hAnsi="Times New Roman" w:eastAsia="仿宋_GB2312"/>
                <w:color w:val="auto"/>
                <w:szCs w:val="18"/>
              </w:rPr>
            </w:pPr>
            <w:r>
              <w:rPr>
                <w:rFonts w:hint="eastAsia" w:ascii="Times New Roman" w:hAnsi="Times New Roman" w:eastAsia="仿宋_GB2312"/>
                <w:color w:val="auto"/>
                <w:szCs w:val="18"/>
              </w:rPr>
              <w:t>自</w:t>
            </w:r>
            <w:r>
              <w:rPr>
                <w:rFonts w:ascii="Times New Roman" w:hAnsi="Times New Roman"/>
                <w:color w:val="auto"/>
                <w:sz w:val="36"/>
                <w:szCs w:val="36"/>
              </w:rPr>
              <w:t>_______</w:t>
            </w:r>
            <w:r>
              <w:rPr>
                <w:rFonts w:hint="eastAsia" w:ascii="Times New Roman" w:hAnsi="Times New Roman" w:eastAsia="仿宋_GB2312"/>
                <w:color w:val="auto"/>
                <w:szCs w:val="18"/>
              </w:rPr>
              <w:t>年</w:t>
            </w:r>
            <w:r>
              <w:rPr>
                <w:rFonts w:ascii="Times New Roman" w:hAnsi="Times New Roman"/>
                <w:color w:val="auto"/>
                <w:sz w:val="36"/>
                <w:szCs w:val="36"/>
              </w:rPr>
              <w:t>___</w:t>
            </w:r>
            <w:r>
              <w:rPr>
                <w:rFonts w:hint="eastAsia" w:ascii="Times New Roman" w:hAnsi="Times New Roman" w:eastAsia="仿宋_GB2312"/>
                <w:color w:val="auto"/>
                <w:szCs w:val="18"/>
              </w:rPr>
              <w:t>月</w:t>
            </w:r>
            <w:r>
              <w:rPr>
                <w:rFonts w:ascii="Times New Roman" w:hAnsi="Times New Roman"/>
                <w:color w:val="auto"/>
                <w:sz w:val="36"/>
                <w:szCs w:val="36"/>
              </w:rPr>
              <w:t>___</w:t>
            </w:r>
            <w:r>
              <w:rPr>
                <w:rFonts w:hint="eastAsia" w:ascii="Times New Roman" w:hAnsi="Times New Roman" w:eastAsia="仿宋_GB2312"/>
                <w:color w:val="auto"/>
                <w:szCs w:val="18"/>
              </w:rPr>
              <w:t>日起暂时歇业</w:t>
            </w:r>
            <w:r>
              <w:rPr>
                <w:rFonts w:ascii="Times New Roman" w:hAnsi="Times New Roman"/>
                <w:color w:val="auto"/>
                <w:sz w:val="36"/>
                <w:szCs w:val="36"/>
              </w:rPr>
              <w:t>____</w:t>
            </w:r>
            <w:r>
              <w:rPr>
                <w:rFonts w:hint="eastAsia" w:ascii="Times New Roman" w:hAnsi="Times New Roman" w:eastAsia="仿宋_GB2312"/>
                <w:color w:val="auto"/>
                <w:szCs w:val="18"/>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51" w:type="dxa"/>
            <w:vMerge w:val="continue"/>
            <w:noWrap w:val="0"/>
            <w:vAlign w:val="center"/>
          </w:tcPr>
          <w:p>
            <w:pPr>
              <w:pStyle w:val="11"/>
              <w:spacing w:before="0" w:beforeAutospacing="0" w:after="0" w:afterAutospacing="0" w:line="400" w:lineRule="exact"/>
              <w:ind w:firstLine="240" w:firstLineChars="100"/>
              <w:rPr>
                <w:rFonts w:hint="eastAsia" w:ascii="Times New Roman" w:hAnsi="Times New Roman" w:eastAsia="仿宋_GB2312"/>
                <w:color w:val="auto"/>
                <w:szCs w:val="18"/>
              </w:rPr>
            </w:pPr>
          </w:p>
        </w:tc>
        <w:tc>
          <w:tcPr>
            <w:tcW w:w="1292" w:type="dxa"/>
            <w:noWrap w:val="0"/>
            <w:vAlign w:val="center"/>
          </w:tcPr>
          <w:p>
            <w:pPr>
              <w:pStyle w:val="11"/>
              <w:spacing w:before="0" w:beforeAutospacing="0" w:after="0" w:afterAutospacing="0" w:line="500" w:lineRule="exact"/>
              <w:jc w:val="both"/>
              <w:rPr>
                <w:rFonts w:hint="eastAsia" w:ascii="Times New Roman" w:hAnsi="Times New Roman" w:eastAsia="仿宋_GB2312"/>
                <w:color w:val="auto"/>
                <w:szCs w:val="18"/>
              </w:rPr>
            </w:pPr>
            <w:r>
              <w:rPr>
                <w:rFonts w:hint="eastAsia" w:eastAsia="仿宋_GB2312"/>
                <w:color w:val="auto"/>
              </w:rPr>
              <w:t>□</w:t>
            </w:r>
            <w:r>
              <w:rPr>
                <w:rFonts w:hint="eastAsia" w:ascii="Times New Roman" w:hAnsi="Times New Roman" w:eastAsia="仿宋_GB2312"/>
                <w:color w:val="auto"/>
                <w:szCs w:val="18"/>
              </w:rPr>
              <w:t>2.注销</w:t>
            </w:r>
          </w:p>
        </w:tc>
        <w:tc>
          <w:tcPr>
            <w:tcW w:w="6117" w:type="dxa"/>
            <w:gridSpan w:val="3"/>
            <w:noWrap w:val="0"/>
            <w:vAlign w:val="center"/>
          </w:tcPr>
          <w:p>
            <w:pPr>
              <w:pStyle w:val="11"/>
              <w:spacing w:before="0" w:beforeAutospacing="0" w:after="0" w:afterAutospacing="0" w:line="500" w:lineRule="exact"/>
              <w:jc w:val="both"/>
              <w:rPr>
                <w:rFonts w:hint="eastAsia" w:ascii="Times New Roman" w:hAnsi="Times New Roman" w:eastAsia="仿宋_GB2312"/>
                <w:color w:val="auto"/>
                <w:szCs w:val="18"/>
              </w:rPr>
            </w:pPr>
            <w:r>
              <w:rPr>
                <w:rFonts w:hint="eastAsia" w:ascii="Times New Roman" w:hAnsi="Times New Roman" w:eastAsia="仿宋_GB2312"/>
                <w:color w:val="auto"/>
                <w:szCs w:val="18"/>
              </w:rPr>
              <w:t>注销原因：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1651" w:type="dxa"/>
            <w:noWrap w:val="0"/>
            <w:vAlign w:val="center"/>
          </w:tcPr>
          <w:p>
            <w:pPr>
              <w:pStyle w:val="11"/>
              <w:spacing w:before="0" w:beforeAutospacing="0" w:after="0" w:afterAutospacing="0" w:line="400" w:lineRule="exact"/>
              <w:ind w:firstLine="120" w:firstLineChars="50"/>
              <w:rPr>
                <w:rFonts w:ascii="Times New Roman" w:hAnsi="Times New Roman" w:eastAsia="仿宋_GB2312"/>
                <w:color w:val="auto"/>
                <w:szCs w:val="18"/>
              </w:rPr>
            </w:pPr>
            <w:r>
              <w:rPr>
                <w:rFonts w:hint="eastAsia" w:ascii="Times New Roman" w:hAnsi="Times New Roman" w:eastAsia="仿宋_GB2312"/>
                <w:color w:val="auto"/>
                <w:szCs w:val="18"/>
              </w:rPr>
              <w:t>申请原因</w:t>
            </w:r>
          </w:p>
        </w:tc>
        <w:tc>
          <w:tcPr>
            <w:tcW w:w="7409" w:type="dxa"/>
            <w:gridSpan w:val="4"/>
            <w:noWrap w:val="0"/>
            <w:vAlign w:val="top"/>
          </w:tcPr>
          <w:p>
            <w:pPr>
              <w:pStyle w:val="11"/>
              <w:spacing w:before="0" w:beforeAutospacing="0" w:after="0" w:afterAutospacing="0" w:line="400" w:lineRule="exact"/>
              <w:ind w:firstLine="489" w:firstLineChars="204"/>
              <w:rPr>
                <w:rFonts w:hint="eastAsia" w:ascii="Times New Roman" w:hAnsi="Times New Roman" w:eastAsia="仿宋_GB2312"/>
                <w:color w:val="auto"/>
                <w:szCs w:val="18"/>
              </w:rPr>
            </w:pPr>
          </w:p>
          <w:p>
            <w:pPr>
              <w:pStyle w:val="11"/>
              <w:spacing w:before="0" w:beforeAutospacing="0" w:after="0" w:afterAutospacing="0" w:line="400" w:lineRule="exact"/>
              <w:ind w:firstLine="489" w:firstLineChars="204"/>
              <w:rPr>
                <w:rFonts w:ascii="Times New Roman" w:hAnsi="Times New Roman" w:eastAsia="仿宋_GB2312"/>
                <w:color w:val="auto"/>
                <w:szCs w:val="18"/>
              </w:rPr>
            </w:pPr>
          </w:p>
          <w:p>
            <w:pPr>
              <w:pStyle w:val="11"/>
              <w:spacing w:before="0" w:beforeAutospacing="0" w:after="0" w:afterAutospacing="0" w:line="580" w:lineRule="exact"/>
              <w:rPr>
                <w:rFonts w:ascii="Times New Roman" w:hAnsi="Times New Roman" w:eastAsia="仿宋_GB2312"/>
                <w:color w:val="auto"/>
                <w:szCs w:val="18"/>
              </w:rPr>
            </w:pPr>
            <w:r>
              <w:rPr>
                <w:rFonts w:hint="eastAsia" w:ascii="Times New Roman" w:hAnsi="Times New Roman" w:eastAsia="仿宋_GB2312"/>
                <w:color w:val="auto"/>
                <w:szCs w:val="18"/>
              </w:rPr>
              <w:t>法定代表人                                     单位盖章</w:t>
            </w:r>
          </w:p>
          <w:p>
            <w:pPr>
              <w:pStyle w:val="11"/>
              <w:spacing w:before="0" w:beforeAutospacing="0" w:after="0" w:afterAutospacing="0" w:line="400" w:lineRule="exact"/>
              <w:rPr>
                <w:rFonts w:ascii="Times New Roman" w:hAnsi="Times New Roman" w:eastAsia="仿宋_GB2312"/>
                <w:color w:val="auto"/>
                <w:szCs w:val="18"/>
              </w:rPr>
            </w:pPr>
            <w:r>
              <w:rPr>
                <w:rFonts w:hint="eastAsia" w:ascii="Times New Roman" w:hAnsi="Times New Roman" w:eastAsia="仿宋_GB2312"/>
                <w:color w:val="auto"/>
                <w:szCs w:val="18"/>
              </w:rPr>
              <w:t xml:space="preserve">(负责人)签字                                  年    月 </w:t>
            </w:r>
            <w:r>
              <w:rPr>
                <w:rFonts w:hint="eastAsia" w:ascii="Times New Roman" w:hAnsi="Times New Roman" w:eastAsia="仿宋_GB2312"/>
                <w:color w:val="auto"/>
                <w:szCs w:val="18"/>
                <w:lang w:val="en-US" w:eastAsia="zh-CN"/>
              </w:rPr>
              <w:t xml:space="preserve"> </w:t>
            </w:r>
            <w:r>
              <w:rPr>
                <w:rFonts w:hint="eastAsia" w:ascii="Times New Roman" w:hAnsi="Times New Roman" w:eastAsia="仿宋_GB2312"/>
                <w:color w:val="auto"/>
                <w:szCs w:val="18"/>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jc w:val="center"/>
        </w:trPr>
        <w:tc>
          <w:tcPr>
            <w:tcW w:w="1651" w:type="dxa"/>
            <w:noWrap w:val="0"/>
            <w:vAlign w:val="center"/>
          </w:tcPr>
          <w:p>
            <w:pPr>
              <w:pStyle w:val="11"/>
              <w:spacing w:before="0" w:beforeAutospacing="0" w:after="0" w:afterAutospacing="0" w:line="400" w:lineRule="exact"/>
              <w:jc w:val="center"/>
              <w:rPr>
                <w:rFonts w:ascii="Times New Roman" w:hAnsi="Times New Roman" w:eastAsia="仿宋_GB2312"/>
                <w:color w:val="auto"/>
                <w:szCs w:val="18"/>
              </w:rPr>
            </w:pPr>
            <w:r>
              <w:rPr>
                <w:rFonts w:hint="eastAsia" w:ascii="Times New Roman" w:hAnsi="Times New Roman" w:eastAsia="仿宋_GB2312"/>
                <w:color w:val="auto"/>
                <w:szCs w:val="18"/>
              </w:rPr>
              <w:t>县级商务主管部门意见</w:t>
            </w:r>
          </w:p>
        </w:tc>
        <w:tc>
          <w:tcPr>
            <w:tcW w:w="7409" w:type="dxa"/>
            <w:gridSpan w:val="4"/>
            <w:noWrap w:val="0"/>
            <w:vAlign w:val="top"/>
          </w:tcPr>
          <w:p>
            <w:pPr>
              <w:pStyle w:val="11"/>
              <w:spacing w:before="0" w:beforeAutospacing="0" w:after="0" w:afterAutospacing="0" w:line="400" w:lineRule="exact"/>
              <w:ind w:firstLine="489" w:firstLineChars="204"/>
              <w:rPr>
                <w:rFonts w:ascii="Times New Roman" w:hAnsi="Times New Roman" w:eastAsia="仿宋_GB2312"/>
                <w:color w:val="auto"/>
                <w:szCs w:val="18"/>
              </w:rPr>
            </w:pPr>
          </w:p>
          <w:p>
            <w:pPr>
              <w:pStyle w:val="11"/>
              <w:spacing w:before="0" w:beforeAutospacing="0" w:after="0" w:afterAutospacing="0" w:line="400" w:lineRule="exact"/>
              <w:rPr>
                <w:rFonts w:hint="eastAsia" w:ascii="Times New Roman" w:hAnsi="Times New Roman" w:eastAsia="仿宋_GB2312"/>
                <w:color w:val="auto"/>
                <w:szCs w:val="18"/>
              </w:rPr>
            </w:pPr>
            <w:r>
              <w:rPr>
                <w:rFonts w:hint="eastAsia" w:ascii="Times New Roman" w:hAnsi="Times New Roman" w:eastAsia="仿宋_GB2312"/>
                <w:color w:val="auto"/>
                <w:szCs w:val="18"/>
              </w:rPr>
              <w:t>经办人</w:t>
            </w:r>
          </w:p>
          <w:p>
            <w:pPr>
              <w:pStyle w:val="11"/>
              <w:spacing w:before="0" w:beforeAutospacing="0" w:after="0" w:afterAutospacing="0" w:line="400" w:lineRule="exact"/>
              <w:rPr>
                <w:rFonts w:hint="eastAsia" w:ascii="Times New Roman" w:hAnsi="Times New Roman" w:eastAsia="仿宋_GB2312"/>
                <w:color w:val="auto"/>
                <w:szCs w:val="18"/>
              </w:rPr>
            </w:pPr>
          </w:p>
          <w:p>
            <w:pPr>
              <w:pStyle w:val="11"/>
              <w:spacing w:before="0" w:beforeAutospacing="0" w:after="0" w:afterAutospacing="0" w:line="400" w:lineRule="exact"/>
              <w:rPr>
                <w:rFonts w:ascii="Times New Roman" w:hAnsi="Times New Roman" w:eastAsia="仿宋_GB2312"/>
                <w:color w:val="auto"/>
                <w:szCs w:val="18"/>
              </w:rPr>
            </w:pPr>
            <w:r>
              <w:rPr>
                <w:rFonts w:hint="eastAsia" w:ascii="Times New Roman" w:hAnsi="Times New Roman" w:eastAsia="仿宋_GB2312"/>
                <w:color w:val="auto"/>
                <w:szCs w:val="18"/>
              </w:rPr>
              <w:t xml:space="preserve">                                          单位盖章</w:t>
            </w:r>
          </w:p>
          <w:p>
            <w:pPr>
              <w:pStyle w:val="11"/>
              <w:spacing w:before="0" w:beforeAutospacing="0" w:after="0" w:afterAutospacing="0" w:line="400" w:lineRule="exact"/>
              <w:rPr>
                <w:rFonts w:ascii="Times New Roman" w:hAnsi="Times New Roman" w:eastAsia="仿宋_GB2312"/>
                <w:color w:val="auto"/>
                <w:szCs w:val="18"/>
              </w:rPr>
            </w:pPr>
            <w:r>
              <w:rPr>
                <w:rFonts w:hint="eastAsia" w:ascii="Times New Roman" w:hAnsi="Times New Roman" w:eastAsia="仿宋_GB2312"/>
                <w:color w:val="auto"/>
                <w:szCs w:val="18"/>
              </w:rPr>
              <w:t xml:space="preserve">负责人(签字)                                  年    月 </w:t>
            </w:r>
            <w:r>
              <w:rPr>
                <w:rFonts w:hint="eastAsia" w:ascii="Times New Roman" w:hAnsi="Times New Roman" w:eastAsia="仿宋_GB2312"/>
                <w:color w:val="auto"/>
                <w:szCs w:val="18"/>
                <w:lang w:val="en-US" w:eastAsia="zh-CN"/>
              </w:rPr>
              <w:t xml:space="preserve"> </w:t>
            </w:r>
            <w:r>
              <w:rPr>
                <w:rFonts w:hint="eastAsia" w:ascii="Times New Roman" w:hAnsi="Times New Roman" w:eastAsia="仿宋_GB2312"/>
                <w:color w:val="auto"/>
                <w:szCs w:val="18"/>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1651" w:type="dxa"/>
            <w:noWrap w:val="0"/>
            <w:vAlign w:val="center"/>
          </w:tcPr>
          <w:p>
            <w:pPr>
              <w:pStyle w:val="11"/>
              <w:spacing w:before="0" w:beforeAutospacing="0" w:after="0" w:afterAutospacing="0" w:line="400" w:lineRule="exact"/>
              <w:jc w:val="center"/>
              <w:rPr>
                <w:rFonts w:ascii="Times New Roman" w:hAnsi="Times New Roman" w:eastAsia="仿宋_GB2312"/>
                <w:color w:val="auto"/>
                <w:szCs w:val="18"/>
              </w:rPr>
            </w:pPr>
            <w:r>
              <w:rPr>
                <w:rFonts w:hint="eastAsia" w:ascii="Times New Roman" w:hAnsi="Times New Roman" w:eastAsia="仿宋_GB2312"/>
                <w:color w:val="auto"/>
                <w:szCs w:val="18"/>
              </w:rPr>
              <w:t>市级商务主管部门意见</w:t>
            </w:r>
          </w:p>
        </w:tc>
        <w:tc>
          <w:tcPr>
            <w:tcW w:w="7409" w:type="dxa"/>
            <w:gridSpan w:val="4"/>
            <w:noWrap w:val="0"/>
            <w:vAlign w:val="top"/>
          </w:tcPr>
          <w:p>
            <w:pPr>
              <w:pStyle w:val="11"/>
              <w:spacing w:before="0" w:beforeAutospacing="0" w:after="0" w:afterAutospacing="0" w:line="400" w:lineRule="exact"/>
              <w:rPr>
                <w:rFonts w:hint="eastAsia" w:ascii="Times New Roman" w:hAnsi="Times New Roman" w:eastAsia="仿宋_GB2312"/>
                <w:color w:val="auto"/>
                <w:szCs w:val="18"/>
              </w:rPr>
            </w:pPr>
          </w:p>
          <w:p>
            <w:pPr>
              <w:pStyle w:val="11"/>
              <w:spacing w:before="0" w:beforeAutospacing="0" w:after="0" w:afterAutospacing="0" w:line="400" w:lineRule="exact"/>
              <w:rPr>
                <w:rFonts w:ascii="Times New Roman" w:hAnsi="Times New Roman" w:eastAsia="仿宋_GB2312"/>
                <w:color w:val="auto"/>
                <w:szCs w:val="18"/>
              </w:rPr>
            </w:pPr>
            <w:r>
              <w:rPr>
                <w:rFonts w:hint="eastAsia" w:ascii="Times New Roman" w:hAnsi="Times New Roman" w:eastAsia="仿宋_GB2312"/>
                <w:color w:val="auto"/>
                <w:szCs w:val="18"/>
              </w:rPr>
              <w:t xml:space="preserve">经办人                                          </w:t>
            </w:r>
          </w:p>
          <w:p>
            <w:pPr>
              <w:pStyle w:val="11"/>
              <w:spacing w:before="0" w:beforeAutospacing="0" w:after="0" w:afterAutospacing="0" w:line="400" w:lineRule="exact"/>
              <w:rPr>
                <w:rFonts w:hint="eastAsia" w:ascii="Times New Roman" w:hAnsi="Times New Roman" w:eastAsia="仿宋_GB2312"/>
                <w:color w:val="auto"/>
                <w:szCs w:val="18"/>
              </w:rPr>
            </w:pPr>
          </w:p>
          <w:p>
            <w:pPr>
              <w:pStyle w:val="11"/>
              <w:spacing w:before="0" w:beforeAutospacing="0" w:after="0" w:afterAutospacing="0" w:line="400" w:lineRule="exact"/>
              <w:rPr>
                <w:rFonts w:hint="default" w:ascii="Times New Roman" w:hAnsi="Times New Roman" w:eastAsia="仿宋_GB2312"/>
                <w:color w:val="auto"/>
                <w:szCs w:val="18"/>
                <w:lang w:val="en-US" w:eastAsia="zh-CN"/>
              </w:rPr>
            </w:pPr>
            <w:r>
              <w:rPr>
                <w:rFonts w:hint="eastAsia" w:ascii="Times New Roman" w:hAnsi="Times New Roman" w:eastAsia="仿宋_GB2312"/>
                <w:color w:val="auto"/>
                <w:szCs w:val="18"/>
              </w:rPr>
              <w:t xml:space="preserve">负责人(签字)  </w:t>
            </w:r>
            <w:r>
              <w:rPr>
                <w:rFonts w:hint="eastAsia" w:ascii="Times New Roman" w:hAnsi="Times New Roman" w:eastAsia="仿宋_GB2312"/>
                <w:color w:val="auto"/>
                <w:szCs w:val="18"/>
                <w:lang w:val="en-US" w:eastAsia="zh-CN"/>
              </w:rPr>
              <w:t xml:space="preserve">                                   </w:t>
            </w:r>
            <w:r>
              <w:rPr>
                <w:rFonts w:hint="eastAsia" w:ascii="Times New Roman" w:hAnsi="Times New Roman" w:eastAsia="仿宋_GB2312"/>
                <w:color w:val="auto"/>
                <w:szCs w:val="18"/>
              </w:rPr>
              <w:t>单位盖章</w:t>
            </w:r>
          </w:p>
          <w:p>
            <w:pPr>
              <w:pStyle w:val="11"/>
              <w:spacing w:before="0" w:beforeAutospacing="0" w:after="0" w:afterAutospacing="0" w:line="400" w:lineRule="exact"/>
              <w:rPr>
                <w:rFonts w:ascii="Times New Roman" w:hAnsi="Times New Roman" w:eastAsia="仿宋_GB2312"/>
                <w:color w:val="auto"/>
                <w:szCs w:val="18"/>
              </w:rPr>
            </w:pPr>
            <w:r>
              <w:rPr>
                <w:rFonts w:hint="eastAsia" w:ascii="Times New Roman" w:hAnsi="Times New Roman" w:eastAsia="仿宋_GB2312"/>
                <w:color w:val="auto"/>
                <w:szCs w:val="18"/>
              </w:rPr>
              <w:t xml:space="preserve">                               </w:t>
            </w:r>
            <w:r>
              <w:rPr>
                <w:rFonts w:hint="eastAsia" w:ascii="Times New Roman" w:hAnsi="Times New Roman" w:eastAsia="仿宋_GB2312"/>
                <w:color w:val="auto"/>
                <w:szCs w:val="18"/>
                <w:lang w:val="en-US" w:eastAsia="zh-CN"/>
              </w:rPr>
              <w:t xml:space="preserve">             </w:t>
            </w:r>
            <w:r>
              <w:rPr>
                <w:rFonts w:hint="eastAsia" w:ascii="Times New Roman" w:hAnsi="Times New Roman" w:eastAsia="仿宋_GB2312"/>
                <w:color w:val="auto"/>
                <w:szCs w:val="18"/>
              </w:rPr>
              <w:t xml:space="preserve"> 年    月 </w:t>
            </w:r>
            <w:r>
              <w:rPr>
                <w:rFonts w:hint="eastAsia" w:ascii="Times New Roman" w:hAnsi="Times New Roman" w:eastAsia="仿宋_GB2312"/>
                <w:color w:val="auto"/>
                <w:szCs w:val="18"/>
                <w:lang w:val="en-US" w:eastAsia="zh-CN"/>
              </w:rPr>
              <w:t xml:space="preserve"> </w:t>
            </w:r>
            <w:r>
              <w:rPr>
                <w:rFonts w:hint="eastAsia" w:ascii="Times New Roman" w:hAnsi="Times New Roman" w:eastAsia="仿宋_GB2312"/>
                <w:color w:val="auto"/>
                <w:szCs w:val="18"/>
              </w:rPr>
              <w:t xml:space="preserve">  日</w:t>
            </w:r>
          </w:p>
        </w:tc>
      </w:tr>
    </w:tbl>
    <w:p>
      <w:pPr>
        <w:spacing w:line="360" w:lineRule="exact"/>
        <w:rPr>
          <w:rFonts w:hint="eastAsia" w:ascii="Times New Roman" w:hAnsi="Times New Roman" w:eastAsia="仿宋_GB2312" w:cs="宋体"/>
          <w:color w:val="auto"/>
          <w:kern w:val="0"/>
          <w:sz w:val="24"/>
          <w:szCs w:val="18"/>
          <w:lang w:val="en-US" w:eastAsia="zh-CN" w:bidi="ar-SA"/>
        </w:rPr>
      </w:pPr>
      <w:r>
        <w:rPr>
          <w:rFonts w:hint="eastAsia" w:ascii="Times New Roman" w:hAnsi="Times New Roman" w:eastAsia="仿宋_GB2312" w:cs="宋体"/>
          <w:color w:val="auto"/>
          <w:kern w:val="0"/>
          <w:sz w:val="24"/>
          <w:szCs w:val="18"/>
          <w:lang w:val="en-US" w:eastAsia="zh-CN" w:bidi="ar-SA"/>
        </w:rPr>
        <w:t>注：1、本表一式3份，申报企业1份，市、县商务主管部门各1 份。</w:t>
      </w:r>
    </w:p>
    <w:p>
      <w:pPr>
        <w:spacing w:line="240" w:lineRule="auto"/>
        <w:rPr>
          <w:rFonts w:hint="eastAsia" w:ascii="Times New Roman" w:hAnsi="Times New Roman" w:eastAsia="仿宋_GB2312" w:cs="宋体"/>
          <w:color w:val="auto"/>
          <w:kern w:val="0"/>
          <w:sz w:val="24"/>
          <w:szCs w:val="18"/>
          <w:lang w:val="en-US" w:eastAsia="zh-CN" w:bidi="ar-SA"/>
        </w:rPr>
      </w:pPr>
      <w:r>
        <w:rPr>
          <w:rFonts w:hint="eastAsia" w:ascii="Times New Roman" w:hAnsi="Times New Roman" w:eastAsia="仿宋_GB2312" w:cs="宋体"/>
          <w:color w:val="auto"/>
          <w:kern w:val="0"/>
          <w:sz w:val="24"/>
          <w:szCs w:val="18"/>
          <w:lang w:val="en-US" w:eastAsia="zh-CN" w:bidi="ar-SA"/>
        </w:rPr>
        <w:br w:type="page"/>
      </w:r>
    </w:p>
    <w:p>
      <w:pPr>
        <w:pStyle w:val="12"/>
        <w:keepNext w:val="0"/>
        <w:keepLines w:val="0"/>
        <w:pageBreakBefore w:val="0"/>
        <w:widowControl w:val="0"/>
        <w:kinsoku/>
        <w:wordWrap/>
        <w:overflowPunct/>
        <w:topLinePunct w:val="0"/>
        <w:autoSpaceDE/>
        <w:autoSpaceDN/>
        <w:bidi w:val="0"/>
        <w:adjustRightInd/>
        <w:snapToGrid/>
        <w:spacing w:before="0" w:after="240" w:line="560" w:lineRule="exact"/>
        <w:jc w:val="both"/>
        <w:textAlignment w:val="auto"/>
        <w:rPr>
          <w:rFonts w:hint="eastAsia" w:ascii="方正仿宋_GB2312" w:hAnsi="方正仿宋_GB2312" w:eastAsia="方正仿宋_GB2312" w:cs="方正仿宋_GB2312"/>
          <w:b w:val="0"/>
          <w:bCs w:val="0"/>
          <w:color w:val="auto"/>
          <w:kern w:val="0"/>
          <w:sz w:val="28"/>
          <w:szCs w:val="28"/>
          <w:lang w:val="en-US" w:eastAsia="zh-CN"/>
        </w:rPr>
      </w:pPr>
      <w:bookmarkStart w:id="2" w:name="_Toc162162547"/>
      <w:r>
        <w:rPr>
          <w:rFonts w:hint="eastAsia" w:ascii="方正仿宋_GB2312" w:hAnsi="方正仿宋_GB2312" w:eastAsia="方正仿宋_GB2312" w:cs="方正仿宋_GB2312"/>
          <w:b w:val="0"/>
          <w:bCs w:val="0"/>
          <w:color w:val="auto"/>
          <w:kern w:val="0"/>
          <w:sz w:val="28"/>
          <w:szCs w:val="28"/>
          <w:lang w:val="en-US" w:eastAsia="zh-CN"/>
        </w:rPr>
        <w:t>附表5</w:t>
      </w:r>
    </w:p>
    <w:p>
      <w:pPr>
        <w:widowControl/>
        <w:spacing w:line="360" w:lineRule="auto"/>
        <w:jc w:val="center"/>
        <w:rPr>
          <w:rFonts w:hint="eastAsia" w:ascii="方正小标宋简体" w:eastAsia="方正小标宋简体"/>
          <w:color w:val="auto"/>
          <w:sz w:val="44"/>
          <w:szCs w:val="44"/>
        </w:rPr>
      </w:pPr>
      <w:r>
        <w:rPr>
          <w:rFonts w:hint="eastAsia" w:ascii="方正小标宋简体" w:eastAsia="方正小标宋简体"/>
          <w:color w:val="auto"/>
          <w:kern w:val="0"/>
          <w:sz w:val="44"/>
          <w:szCs w:val="44"/>
        </w:rPr>
        <w:t>成品油零售经营企业年度检查登记表</w:t>
      </w:r>
      <w:bookmarkEnd w:id="2"/>
    </w:p>
    <w:tbl>
      <w:tblPr>
        <w:tblStyle w:val="14"/>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67"/>
        <w:gridCol w:w="534"/>
        <w:gridCol w:w="883"/>
        <w:gridCol w:w="142"/>
        <w:gridCol w:w="1984"/>
        <w:gridCol w:w="851"/>
        <w:gridCol w:w="1134"/>
        <w:gridCol w:w="14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68" w:type="dxa"/>
            <w:gridSpan w:val="2"/>
            <w:noWrap w:val="0"/>
            <w:vAlign w:val="center"/>
          </w:tcPr>
          <w:p>
            <w:pPr>
              <w:jc w:val="center"/>
              <w:rPr>
                <w:rFonts w:ascii="仿宋" w:hAnsi="仿宋" w:eastAsia="仿宋"/>
                <w:color w:val="auto"/>
                <w:sz w:val="24"/>
              </w:rPr>
            </w:pPr>
            <w:r>
              <w:rPr>
                <w:rFonts w:hint="eastAsia" w:ascii="仿宋" w:hAnsi="仿宋" w:eastAsia="仿宋"/>
                <w:color w:val="auto"/>
                <w:sz w:val="24"/>
              </w:rPr>
              <w:t>企业名称</w:t>
            </w:r>
          </w:p>
        </w:tc>
        <w:tc>
          <w:tcPr>
            <w:tcW w:w="7229" w:type="dxa"/>
            <w:gridSpan w:val="8"/>
            <w:noWrap w:val="0"/>
            <w:vAlign w:val="center"/>
          </w:tcPr>
          <w:p>
            <w:pPr>
              <w:ind w:firstLine="489" w:firstLineChars="204"/>
              <w:rPr>
                <w:rFonts w:hint="eastAsia"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68" w:type="dxa"/>
            <w:gridSpan w:val="2"/>
            <w:noWrap w:val="0"/>
            <w:vAlign w:val="center"/>
          </w:tcPr>
          <w:p>
            <w:pPr>
              <w:jc w:val="center"/>
              <w:rPr>
                <w:rFonts w:ascii="仿宋" w:hAnsi="仿宋" w:eastAsia="仿宋"/>
                <w:color w:val="auto"/>
                <w:sz w:val="24"/>
              </w:rPr>
            </w:pPr>
            <w:r>
              <w:rPr>
                <w:rFonts w:hint="eastAsia" w:ascii="仿宋" w:hAnsi="仿宋" w:eastAsia="仿宋"/>
                <w:color w:val="auto"/>
                <w:sz w:val="24"/>
              </w:rPr>
              <w:t>企业注册地址</w:t>
            </w:r>
          </w:p>
        </w:tc>
        <w:tc>
          <w:tcPr>
            <w:tcW w:w="4394" w:type="dxa"/>
            <w:gridSpan w:val="5"/>
            <w:noWrap w:val="0"/>
            <w:vAlign w:val="center"/>
          </w:tcPr>
          <w:p>
            <w:pPr>
              <w:ind w:firstLine="489" w:firstLineChars="204"/>
              <w:rPr>
                <w:rFonts w:hint="eastAsia" w:ascii="仿宋" w:hAnsi="仿宋" w:eastAsia="仿宋"/>
                <w:color w:val="auto"/>
                <w:sz w:val="24"/>
              </w:rPr>
            </w:pPr>
          </w:p>
        </w:tc>
        <w:tc>
          <w:tcPr>
            <w:tcW w:w="1276" w:type="dxa"/>
            <w:gridSpan w:val="2"/>
            <w:noWrap w:val="0"/>
            <w:vAlign w:val="center"/>
          </w:tcPr>
          <w:p>
            <w:pPr>
              <w:rPr>
                <w:rFonts w:ascii="仿宋" w:hAnsi="仿宋" w:eastAsia="仿宋"/>
                <w:color w:val="auto"/>
                <w:sz w:val="24"/>
              </w:rPr>
            </w:pPr>
            <w:r>
              <w:rPr>
                <w:rFonts w:hint="eastAsia" w:ascii="仿宋" w:hAnsi="仿宋" w:eastAsia="仿宋"/>
                <w:color w:val="auto"/>
                <w:sz w:val="24"/>
              </w:rPr>
              <w:t>邮政编码</w:t>
            </w:r>
          </w:p>
        </w:tc>
        <w:tc>
          <w:tcPr>
            <w:tcW w:w="1559" w:type="dxa"/>
            <w:noWrap w:val="0"/>
            <w:vAlign w:val="center"/>
          </w:tcPr>
          <w:p>
            <w:pPr>
              <w:ind w:firstLine="489" w:firstLineChars="204"/>
              <w:rPr>
                <w:rFonts w:hint="eastAsia"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68" w:type="dxa"/>
            <w:gridSpan w:val="2"/>
            <w:noWrap w:val="0"/>
            <w:vAlign w:val="center"/>
          </w:tcPr>
          <w:p>
            <w:pPr>
              <w:jc w:val="center"/>
              <w:rPr>
                <w:rFonts w:ascii="仿宋" w:hAnsi="仿宋" w:eastAsia="仿宋"/>
                <w:color w:val="auto"/>
                <w:sz w:val="24"/>
              </w:rPr>
            </w:pPr>
            <w:r>
              <w:rPr>
                <w:rFonts w:hint="eastAsia" w:ascii="仿宋" w:hAnsi="仿宋" w:eastAsia="仿宋"/>
                <w:color w:val="auto"/>
                <w:sz w:val="24"/>
              </w:rPr>
              <w:t>加油站地址</w:t>
            </w:r>
          </w:p>
        </w:tc>
        <w:tc>
          <w:tcPr>
            <w:tcW w:w="7229" w:type="dxa"/>
            <w:gridSpan w:val="8"/>
            <w:noWrap w:val="0"/>
            <w:vAlign w:val="center"/>
          </w:tcPr>
          <w:p>
            <w:pPr>
              <w:ind w:firstLine="489" w:firstLineChars="204"/>
              <w:rPr>
                <w:rFonts w:hint="eastAsia"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68" w:type="dxa"/>
            <w:gridSpan w:val="2"/>
            <w:noWrap w:val="0"/>
            <w:vAlign w:val="center"/>
          </w:tcPr>
          <w:p>
            <w:pPr>
              <w:ind w:left="120" w:hanging="120" w:hangingChars="50"/>
              <w:jc w:val="center"/>
              <w:rPr>
                <w:rFonts w:ascii="仿宋" w:hAnsi="仿宋" w:eastAsia="仿宋"/>
                <w:color w:val="auto"/>
                <w:sz w:val="24"/>
              </w:rPr>
            </w:pPr>
            <w:r>
              <w:rPr>
                <w:rFonts w:hint="eastAsia" w:ascii="仿宋" w:hAnsi="仿宋" w:eastAsia="仿宋"/>
                <w:color w:val="auto"/>
                <w:sz w:val="24"/>
              </w:rPr>
              <w:t>法定代表人    （负责人）</w:t>
            </w:r>
          </w:p>
        </w:tc>
        <w:tc>
          <w:tcPr>
            <w:tcW w:w="3543" w:type="dxa"/>
            <w:gridSpan w:val="4"/>
            <w:noWrap w:val="0"/>
            <w:vAlign w:val="center"/>
          </w:tcPr>
          <w:p>
            <w:pPr>
              <w:ind w:firstLine="489" w:firstLineChars="204"/>
              <w:jc w:val="center"/>
              <w:rPr>
                <w:rFonts w:ascii="仿宋" w:hAnsi="仿宋" w:eastAsia="仿宋"/>
                <w:color w:val="auto"/>
                <w:sz w:val="24"/>
              </w:rPr>
            </w:pPr>
          </w:p>
        </w:tc>
        <w:tc>
          <w:tcPr>
            <w:tcW w:w="1985" w:type="dxa"/>
            <w:gridSpan w:val="2"/>
            <w:noWrap w:val="0"/>
            <w:vAlign w:val="center"/>
          </w:tcPr>
          <w:p>
            <w:pPr>
              <w:jc w:val="center"/>
              <w:rPr>
                <w:rFonts w:hint="eastAsia" w:ascii="仿宋" w:hAnsi="仿宋" w:eastAsia="仿宋"/>
                <w:color w:val="auto"/>
                <w:sz w:val="24"/>
              </w:rPr>
            </w:pPr>
            <w:r>
              <w:rPr>
                <w:rFonts w:hint="eastAsia" w:ascii="仿宋" w:hAnsi="仿宋" w:eastAsia="仿宋"/>
                <w:color w:val="auto"/>
                <w:sz w:val="24"/>
              </w:rPr>
              <w:t>联系电话</w:t>
            </w:r>
          </w:p>
        </w:tc>
        <w:tc>
          <w:tcPr>
            <w:tcW w:w="1701" w:type="dxa"/>
            <w:gridSpan w:val="2"/>
            <w:noWrap w:val="0"/>
            <w:vAlign w:val="center"/>
          </w:tcPr>
          <w:p>
            <w:pPr>
              <w:ind w:firstLine="489" w:firstLineChars="204"/>
              <w:rPr>
                <w:rFonts w:hint="eastAsia"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68" w:type="dxa"/>
            <w:gridSpan w:val="2"/>
            <w:noWrap w:val="0"/>
            <w:vAlign w:val="center"/>
          </w:tcPr>
          <w:p>
            <w:pPr>
              <w:jc w:val="center"/>
              <w:rPr>
                <w:rFonts w:ascii="仿宋" w:hAnsi="仿宋" w:eastAsia="仿宋"/>
                <w:color w:val="auto"/>
                <w:sz w:val="24"/>
              </w:rPr>
            </w:pPr>
            <w:r>
              <w:rPr>
                <w:rFonts w:hint="eastAsia" w:ascii="仿宋" w:hAnsi="仿宋" w:eastAsia="仿宋"/>
                <w:color w:val="auto"/>
                <w:sz w:val="24"/>
              </w:rPr>
              <w:t>注册资金</w:t>
            </w:r>
          </w:p>
        </w:tc>
        <w:tc>
          <w:tcPr>
            <w:tcW w:w="3543" w:type="dxa"/>
            <w:gridSpan w:val="4"/>
            <w:noWrap w:val="0"/>
            <w:vAlign w:val="center"/>
          </w:tcPr>
          <w:p>
            <w:pPr>
              <w:ind w:firstLine="489" w:firstLineChars="204"/>
              <w:jc w:val="center"/>
              <w:rPr>
                <w:rFonts w:ascii="仿宋" w:hAnsi="仿宋" w:eastAsia="仿宋"/>
                <w:color w:val="auto"/>
                <w:sz w:val="24"/>
              </w:rPr>
            </w:pPr>
          </w:p>
        </w:tc>
        <w:tc>
          <w:tcPr>
            <w:tcW w:w="1985" w:type="dxa"/>
            <w:gridSpan w:val="2"/>
            <w:noWrap w:val="0"/>
            <w:vAlign w:val="center"/>
          </w:tcPr>
          <w:p>
            <w:pPr>
              <w:jc w:val="center"/>
              <w:rPr>
                <w:rFonts w:ascii="仿宋" w:hAnsi="仿宋" w:eastAsia="仿宋"/>
                <w:color w:val="auto"/>
                <w:sz w:val="24"/>
              </w:rPr>
            </w:pPr>
            <w:r>
              <w:rPr>
                <w:rFonts w:hint="eastAsia" w:ascii="仿宋" w:hAnsi="仿宋" w:eastAsia="仿宋"/>
                <w:color w:val="auto"/>
                <w:sz w:val="24"/>
              </w:rPr>
              <w:t>经济类型</w:t>
            </w:r>
          </w:p>
        </w:tc>
        <w:tc>
          <w:tcPr>
            <w:tcW w:w="1701" w:type="dxa"/>
            <w:gridSpan w:val="2"/>
            <w:noWrap w:val="0"/>
            <w:vAlign w:val="center"/>
          </w:tcPr>
          <w:p>
            <w:pPr>
              <w:ind w:firstLine="489" w:firstLineChars="204"/>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68" w:type="dxa"/>
            <w:gridSpan w:val="2"/>
            <w:noWrap w:val="0"/>
            <w:vAlign w:val="center"/>
          </w:tcPr>
          <w:p>
            <w:pPr>
              <w:jc w:val="center"/>
              <w:rPr>
                <w:rFonts w:ascii="仿宋" w:hAnsi="仿宋" w:eastAsia="仿宋"/>
                <w:color w:val="auto"/>
                <w:sz w:val="24"/>
              </w:rPr>
            </w:pPr>
            <w:r>
              <w:rPr>
                <w:rFonts w:hint="eastAsia" w:ascii="仿宋" w:hAnsi="仿宋" w:eastAsia="仿宋"/>
                <w:color w:val="auto"/>
                <w:sz w:val="24"/>
              </w:rPr>
              <w:t>从业人员数量</w:t>
            </w:r>
          </w:p>
        </w:tc>
        <w:tc>
          <w:tcPr>
            <w:tcW w:w="3543" w:type="dxa"/>
            <w:gridSpan w:val="4"/>
            <w:noWrap w:val="0"/>
            <w:vAlign w:val="center"/>
          </w:tcPr>
          <w:p>
            <w:pPr>
              <w:ind w:firstLine="489" w:firstLineChars="204"/>
              <w:jc w:val="center"/>
              <w:rPr>
                <w:rFonts w:ascii="仿宋" w:hAnsi="仿宋" w:eastAsia="仿宋"/>
                <w:color w:val="auto"/>
                <w:sz w:val="24"/>
              </w:rPr>
            </w:pPr>
          </w:p>
        </w:tc>
        <w:tc>
          <w:tcPr>
            <w:tcW w:w="1985" w:type="dxa"/>
            <w:gridSpan w:val="2"/>
            <w:noWrap w:val="0"/>
            <w:vAlign w:val="center"/>
          </w:tcPr>
          <w:p>
            <w:pPr>
              <w:jc w:val="center"/>
              <w:rPr>
                <w:rFonts w:hint="eastAsia" w:ascii="仿宋" w:hAnsi="仿宋" w:eastAsia="仿宋"/>
                <w:color w:val="auto"/>
                <w:sz w:val="24"/>
              </w:rPr>
            </w:pPr>
            <w:r>
              <w:rPr>
                <w:rFonts w:hint="eastAsia" w:ascii="仿宋" w:hAnsi="仿宋" w:eastAsia="仿宋"/>
                <w:color w:val="auto"/>
                <w:sz w:val="24"/>
              </w:rPr>
              <w:t>专业技术人员</w:t>
            </w:r>
          </w:p>
        </w:tc>
        <w:tc>
          <w:tcPr>
            <w:tcW w:w="1701" w:type="dxa"/>
            <w:gridSpan w:val="2"/>
            <w:noWrap w:val="0"/>
            <w:vAlign w:val="center"/>
          </w:tcPr>
          <w:p>
            <w:pPr>
              <w:ind w:firstLine="489" w:firstLineChars="204"/>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68" w:type="dxa"/>
            <w:gridSpan w:val="2"/>
            <w:vMerge w:val="restart"/>
            <w:noWrap w:val="0"/>
            <w:vAlign w:val="center"/>
          </w:tcPr>
          <w:p>
            <w:pPr>
              <w:jc w:val="center"/>
              <w:rPr>
                <w:rFonts w:ascii="仿宋" w:hAnsi="仿宋" w:eastAsia="仿宋"/>
                <w:color w:val="auto"/>
                <w:sz w:val="24"/>
              </w:rPr>
            </w:pPr>
            <w:r>
              <w:rPr>
                <w:rFonts w:hint="eastAsia" w:ascii="仿宋" w:hAnsi="仿宋" w:eastAsia="仿宋"/>
                <w:color w:val="auto"/>
                <w:sz w:val="24"/>
              </w:rPr>
              <w:t>仓储能力</w:t>
            </w:r>
          </w:p>
        </w:tc>
        <w:tc>
          <w:tcPr>
            <w:tcW w:w="1559" w:type="dxa"/>
            <w:gridSpan w:val="3"/>
            <w:noWrap w:val="0"/>
            <w:vAlign w:val="center"/>
          </w:tcPr>
          <w:p>
            <w:pPr>
              <w:rPr>
                <w:rFonts w:ascii="仿宋" w:hAnsi="仿宋" w:eastAsia="仿宋"/>
                <w:color w:val="auto"/>
                <w:sz w:val="24"/>
              </w:rPr>
            </w:pPr>
            <w:r>
              <w:rPr>
                <w:rFonts w:hint="eastAsia" w:ascii="仿宋" w:hAnsi="仿宋" w:eastAsia="仿宋"/>
                <w:color w:val="auto"/>
                <w:sz w:val="24"/>
              </w:rPr>
              <w:t>汽油罐（个）</w:t>
            </w:r>
          </w:p>
        </w:tc>
        <w:tc>
          <w:tcPr>
            <w:tcW w:w="1984" w:type="dxa"/>
            <w:noWrap w:val="0"/>
            <w:vAlign w:val="center"/>
          </w:tcPr>
          <w:p>
            <w:pPr>
              <w:ind w:firstLine="489" w:firstLineChars="204"/>
              <w:jc w:val="center"/>
              <w:rPr>
                <w:rFonts w:ascii="仿宋" w:hAnsi="仿宋" w:eastAsia="仿宋"/>
                <w:color w:val="auto"/>
                <w:sz w:val="24"/>
              </w:rPr>
            </w:pPr>
          </w:p>
        </w:tc>
        <w:tc>
          <w:tcPr>
            <w:tcW w:w="1985" w:type="dxa"/>
            <w:gridSpan w:val="2"/>
            <w:noWrap w:val="0"/>
            <w:vAlign w:val="center"/>
          </w:tcPr>
          <w:p>
            <w:pPr>
              <w:jc w:val="center"/>
              <w:rPr>
                <w:rFonts w:ascii="仿宋" w:hAnsi="仿宋" w:eastAsia="仿宋"/>
                <w:color w:val="auto"/>
                <w:sz w:val="24"/>
              </w:rPr>
            </w:pPr>
            <w:r>
              <w:rPr>
                <w:rFonts w:hint="eastAsia" w:ascii="仿宋" w:hAnsi="仿宋" w:eastAsia="仿宋"/>
                <w:color w:val="auto"/>
                <w:sz w:val="24"/>
              </w:rPr>
              <w:t>总容积（m</w:t>
            </w:r>
            <w:r>
              <w:rPr>
                <w:rFonts w:ascii="仿宋" w:hAnsi="仿宋" w:eastAsia="仿宋"/>
                <w:color w:val="auto"/>
                <w:sz w:val="24"/>
                <w:vertAlign w:val="superscript"/>
              </w:rPr>
              <w:t>3</w:t>
            </w:r>
            <w:r>
              <w:rPr>
                <w:rFonts w:hint="eastAsia" w:ascii="仿宋" w:hAnsi="仿宋" w:eastAsia="仿宋"/>
                <w:color w:val="auto"/>
                <w:sz w:val="24"/>
              </w:rPr>
              <w:t>）</w:t>
            </w:r>
          </w:p>
        </w:tc>
        <w:tc>
          <w:tcPr>
            <w:tcW w:w="1701" w:type="dxa"/>
            <w:gridSpan w:val="2"/>
            <w:noWrap w:val="0"/>
            <w:vAlign w:val="center"/>
          </w:tcPr>
          <w:p>
            <w:pPr>
              <w:ind w:firstLine="489" w:firstLineChars="204"/>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68" w:type="dxa"/>
            <w:gridSpan w:val="2"/>
            <w:vMerge w:val="continue"/>
            <w:noWrap w:val="0"/>
            <w:vAlign w:val="center"/>
          </w:tcPr>
          <w:p>
            <w:pPr>
              <w:ind w:firstLine="489" w:firstLineChars="204"/>
              <w:jc w:val="center"/>
              <w:rPr>
                <w:rFonts w:ascii="仿宋" w:hAnsi="仿宋" w:eastAsia="仿宋"/>
                <w:color w:val="auto"/>
                <w:sz w:val="24"/>
              </w:rPr>
            </w:pPr>
          </w:p>
        </w:tc>
        <w:tc>
          <w:tcPr>
            <w:tcW w:w="1559" w:type="dxa"/>
            <w:gridSpan w:val="3"/>
            <w:noWrap w:val="0"/>
            <w:vAlign w:val="center"/>
          </w:tcPr>
          <w:p>
            <w:pPr>
              <w:rPr>
                <w:rFonts w:ascii="仿宋" w:hAnsi="仿宋" w:eastAsia="仿宋"/>
                <w:color w:val="auto"/>
                <w:sz w:val="24"/>
              </w:rPr>
            </w:pPr>
            <w:r>
              <w:rPr>
                <w:rFonts w:hint="eastAsia" w:ascii="仿宋" w:hAnsi="仿宋" w:eastAsia="仿宋"/>
                <w:color w:val="auto"/>
                <w:sz w:val="24"/>
              </w:rPr>
              <w:t>柴油罐（个）</w:t>
            </w:r>
          </w:p>
        </w:tc>
        <w:tc>
          <w:tcPr>
            <w:tcW w:w="1984" w:type="dxa"/>
            <w:noWrap w:val="0"/>
            <w:vAlign w:val="center"/>
          </w:tcPr>
          <w:p>
            <w:pPr>
              <w:ind w:firstLine="489" w:firstLineChars="204"/>
              <w:jc w:val="center"/>
              <w:rPr>
                <w:rFonts w:ascii="仿宋" w:hAnsi="仿宋" w:eastAsia="仿宋"/>
                <w:color w:val="auto"/>
                <w:sz w:val="24"/>
              </w:rPr>
            </w:pPr>
          </w:p>
        </w:tc>
        <w:tc>
          <w:tcPr>
            <w:tcW w:w="1985" w:type="dxa"/>
            <w:gridSpan w:val="2"/>
            <w:noWrap w:val="0"/>
            <w:vAlign w:val="center"/>
          </w:tcPr>
          <w:p>
            <w:pPr>
              <w:jc w:val="center"/>
              <w:rPr>
                <w:rFonts w:ascii="仿宋" w:hAnsi="仿宋" w:eastAsia="仿宋"/>
                <w:color w:val="auto"/>
                <w:sz w:val="24"/>
              </w:rPr>
            </w:pPr>
            <w:r>
              <w:rPr>
                <w:rFonts w:hint="eastAsia" w:ascii="仿宋" w:hAnsi="仿宋" w:eastAsia="仿宋"/>
                <w:color w:val="auto"/>
                <w:sz w:val="24"/>
              </w:rPr>
              <w:t>总容积（m</w:t>
            </w:r>
            <w:r>
              <w:rPr>
                <w:rFonts w:ascii="仿宋" w:hAnsi="仿宋" w:eastAsia="仿宋"/>
                <w:color w:val="auto"/>
                <w:sz w:val="24"/>
                <w:vertAlign w:val="superscript"/>
              </w:rPr>
              <w:t>3</w:t>
            </w:r>
            <w:r>
              <w:rPr>
                <w:rFonts w:hint="eastAsia" w:ascii="仿宋" w:hAnsi="仿宋" w:eastAsia="仿宋"/>
                <w:color w:val="auto"/>
                <w:sz w:val="24"/>
              </w:rPr>
              <w:t>）</w:t>
            </w:r>
          </w:p>
        </w:tc>
        <w:tc>
          <w:tcPr>
            <w:tcW w:w="1701" w:type="dxa"/>
            <w:gridSpan w:val="2"/>
            <w:noWrap w:val="0"/>
            <w:vAlign w:val="center"/>
          </w:tcPr>
          <w:p>
            <w:pPr>
              <w:ind w:firstLine="489" w:firstLineChars="204"/>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68" w:type="dxa"/>
            <w:gridSpan w:val="2"/>
            <w:vMerge w:val="continue"/>
            <w:noWrap w:val="0"/>
            <w:vAlign w:val="center"/>
          </w:tcPr>
          <w:p>
            <w:pPr>
              <w:ind w:firstLine="489" w:firstLineChars="204"/>
              <w:jc w:val="center"/>
              <w:rPr>
                <w:rFonts w:ascii="仿宋" w:hAnsi="仿宋" w:eastAsia="仿宋"/>
                <w:color w:val="auto"/>
                <w:sz w:val="24"/>
              </w:rPr>
            </w:pPr>
          </w:p>
        </w:tc>
        <w:tc>
          <w:tcPr>
            <w:tcW w:w="1559" w:type="dxa"/>
            <w:gridSpan w:val="3"/>
            <w:noWrap w:val="0"/>
            <w:vAlign w:val="center"/>
          </w:tcPr>
          <w:p>
            <w:pPr>
              <w:rPr>
                <w:rFonts w:hint="eastAsia" w:ascii="仿宋" w:hAnsi="仿宋" w:eastAsia="仿宋"/>
                <w:color w:val="auto"/>
                <w:sz w:val="24"/>
              </w:rPr>
            </w:pPr>
            <w:r>
              <w:rPr>
                <w:rFonts w:hint="eastAsia" w:ascii="仿宋" w:hAnsi="仿宋" w:eastAsia="仿宋"/>
                <w:color w:val="auto"/>
                <w:sz w:val="24"/>
              </w:rPr>
              <w:t>煤油罐 (个)</w:t>
            </w:r>
          </w:p>
        </w:tc>
        <w:tc>
          <w:tcPr>
            <w:tcW w:w="1984" w:type="dxa"/>
            <w:noWrap w:val="0"/>
            <w:vAlign w:val="center"/>
          </w:tcPr>
          <w:p>
            <w:pPr>
              <w:ind w:firstLine="489" w:firstLineChars="204"/>
              <w:jc w:val="center"/>
              <w:rPr>
                <w:rFonts w:ascii="仿宋" w:hAnsi="仿宋" w:eastAsia="仿宋"/>
                <w:color w:val="auto"/>
                <w:sz w:val="24"/>
              </w:rPr>
            </w:pPr>
          </w:p>
        </w:tc>
        <w:tc>
          <w:tcPr>
            <w:tcW w:w="1985" w:type="dxa"/>
            <w:gridSpan w:val="2"/>
            <w:noWrap w:val="0"/>
            <w:vAlign w:val="center"/>
          </w:tcPr>
          <w:p>
            <w:pPr>
              <w:jc w:val="center"/>
              <w:rPr>
                <w:rFonts w:hint="eastAsia" w:ascii="仿宋" w:hAnsi="仿宋" w:eastAsia="仿宋"/>
                <w:color w:val="auto"/>
                <w:sz w:val="24"/>
              </w:rPr>
            </w:pPr>
            <w:r>
              <w:rPr>
                <w:rFonts w:hint="eastAsia" w:ascii="仿宋" w:hAnsi="仿宋" w:eastAsia="仿宋"/>
                <w:color w:val="auto"/>
                <w:sz w:val="24"/>
              </w:rPr>
              <w:t>总容积（m</w:t>
            </w:r>
            <w:r>
              <w:rPr>
                <w:rFonts w:ascii="仿宋" w:hAnsi="仿宋" w:eastAsia="仿宋"/>
                <w:color w:val="auto"/>
                <w:sz w:val="24"/>
                <w:vertAlign w:val="superscript"/>
              </w:rPr>
              <w:t>3</w:t>
            </w:r>
            <w:r>
              <w:rPr>
                <w:rFonts w:hint="eastAsia" w:ascii="仿宋" w:hAnsi="仿宋" w:eastAsia="仿宋"/>
                <w:color w:val="auto"/>
                <w:sz w:val="24"/>
              </w:rPr>
              <w:t>）</w:t>
            </w:r>
          </w:p>
        </w:tc>
        <w:tc>
          <w:tcPr>
            <w:tcW w:w="1701" w:type="dxa"/>
            <w:gridSpan w:val="2"/>
            <w:noWrap w:val="0"/>
            <w:vAlign w:val="center"/>
          </w:tcPr>
          <w:p>
            <w:pPr>
              <w:ind w:firstLine="489" w:firstLineChars="204"/>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68" w:type="dxa"/>
            <w:gridSpan w:val="2"/>
            <w:noWrap w:val="0"/>
            <w:vAlign w:val="center"/>
          </w:tcPr>
          <w:p>
            <w:pPr>
              <w:jc w:val="center"/>
              <w:rPr>
                <w:rFonts w:ascii="仿宋" w:hAnsi="仿宋" w:eastAsia="仿宋"/>
                <w:color w:val="auto"/>
                <w:sz w:val="24"/>
              </w:rPr>
            </w:pPr>
            <w:r>
              <w:rPr>
                <w:rFonts w:hint="eastAsia" w:ascii="仿宋" w:hAnsi="仿宋" w:eastAsia="仿宋"/>
                <w:color w:val="auto"/>
                <w:sz w:val="24"/>
              </w:rPr>
              <w:t>进油渠道</w:t>
            </w:r>
          </w:p>
        </w:tc>
        <w:tc>
          <w:tcPr>
            <w:tcW w:w="3543" w:type="dxa"/>
            <w:gridSpan w:val="4"/>
            <w:noWrap w:val="0"/>
            <w:vAlign w:val="center"/>
          </w:tcPr>
          <w:p>
            <w:pPr>
              <w:ind w:firstLine="489" w:firstLineChars="204"/>
              <w:jc w:val="center"/>
              <w:rPr>
                <w:rFonts w:ascii="仿宋" w:hAnsi="仿宋" w:eastAsia="仿宋"/>
                <w:color w:val="auto"/>
                <w:sz w:val="24"/>
              </w:rPr>
            </w:pPr>
          </w:p>
        </w:tc>
        <w:tc>
          <w:tcPr>
            <w:tcW w:w="1985" w:type="dxa"/>
            <w:gridSpan w:val="2"/>
            <w:noWrap w:val="0"/>
            <w:vAlign w:val="center"/>
          </w:tcPr>
          <w:p>
            <w:pPr>
              <w:rPr>
                <w:rFonts w:ascii="仿宋" w:hAnsi="仿宋" w:eastAsia="仿宋"/>
                <w:color w:val="auto"/>
                <w:sz w:val="24"/>
              </w:rPr>
            </w:pPr>
            <w:r>
              <w:rPr>
                <w:rFonts w:hint="eastAsia" w:ascii="仿宋" w:hAnsi="仿宋" w:eastAsia="仿宋"/>
                <w:color w:val="auto"/>
                <w:sz w:val="24"/>
              </w:rPr>
              <w:t>供油协议签订时间、年限及数量</w:t>
            </w:r>
          </w:p>
        </w:tc>
        <w:tc>
          <w:tcPr>
            <w:tcW w:w="1701" w:type="dxa"/>
            <w:gridSpan w:val="2"/>
            <w:noWrap w:val="0"/>
            <w:vAlign w:val="center"/>
          </w:tcPr>
          <w:p>
            <w:pPr>
              <w:ind w:firstLine="489" w:firstLineChars="204"/>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68" w:type="dxa"/>
            <w:gridSpan w:val="2"/>
            <w:vMerge w:val="restart"/>
            <w:noWrap w:val="0"/>
            <w:vAlign w:val="center"/>
          </w:tcPr>
          <w:p>
            <w:pPr>
              <w:jc w:val="center"/>
              <w:rPr>
                <w:rFonts w:ascii="仿宋" w:hAnsi="仿宋" w:eastAsia="仿宋"/>
                <w:color w:val="auto"/>
                <w:sz w:val="24"/>
              </w:rPr>
            </w:pPr>
            <w:r>
              <w:rPr>
                <w:rFonts w:hint="eastAsia" w:ascii="仿宋" w:hAnsi="仿宋" w:eastAsia="仿宋"/>
                <w:color w:val="auto"/>
                <w:sz w:val="24"/>
                <w:lang w:eastAsia="zh-CN"/>
              </w:rPr>
              <w:t>（</w:t>
            </w:r>
            <w:r>
              <w:rPr>
                <w:rFonts w:hint="eastAsia" w:ascii="仿宋" w:hAnsi="仿宋" w:eastAsia="仿宋"/>
                <w:color w:val="auto"/>
                <w:sz w:val="24"/>
                <w:lang w:val="en-US" w:eastAsia="zh-CN"/>
              </w:rPr>
              <w:t xml:space="preserve">      </w:t>
            </w:r>
            <w:r>
              <w:rPr>
                <w:rFonts w:hint="eastAsia" w:ascii="仿宋" w:hAnsi="仿宋" w:eastAsia="仿宋"/>
                <w:color w:val="auto"/>
                <w:sz w:val="24"/>
                <w:lang w:eastAsia="zh-CN"/>
              </w:rPr>
              <w:t>）</w:t>
            </w:r>
            <w:r>
              <w:rPr>
                <w:rFonts w:hint="eastAsia" w:ascii="仿宋" w:hAnsi="仿宋" w:eastAsia="仿宋"/>
                <w:color w:val="auto"/>
                <w:sz w:val="24"/>
              </w:rPr>
              <w:t>年经营状况</w:t>
            </w:r>
          </w:p>
        </w:tc>
        <w:tc>
          <w:tcPr>
            <w:tcW w:w="1417" w:type="dxa"/>
            <w:gridSpan w:val="2"/>
            <w:noWrap w:val="0"/>
            <w:vAlign w:val="center"/>
          </w:tcPr>
          <w:p>
            <w:pPr>
              <w:jc w:val="center"/>
              <w:rPr>
                <w:rFonts w:ascii="仿宋" w:hAnsi="仿宋" w:eastAsia="仿宋"/>
                <w:color w:val="auto"/>
                <w:sz w:val="24"/>
              </w:rPr>
            </w:pPr>
            <w:r>
              <w:rPr>
                <w:rFonts w:hint="eastAsia" w:ascii="仿宋" w:hAnsi="仿宋" w:eastAsia="仿宋"/>
                <w:color w:val="auto"/>
                <w:sz w:val="24"/>
              </w:rPr>
              <w:t>油品名称</w:t>
            </w:r>
          </w:p>
        </w:tc>
        <w:tc>
          <w:tcPr>
            <w:tcW w:w="2126" w:type="dxa"/>
            <w:gridSpan w:val="2"/>
            <w:noWrap w:val="0"/>
            <w:vAlign w:val="center"/>
          </w:tcPr>
          <w:p>
            <w:pPr>
              <w:jc w:val="center"/>
              <w:rPr>
                <w:rFonts w:hint="eastAsia" w:ascii="仿宋" w:hAnsi="仿宋" w:eastAsia="仿宋"/>
                <w:color w:val="auto"/>
                <w:sz w:val="24"/>
              </w:rPr>
            </w:pPr>
            <w:r>
              <w:rPr>
                <w:rFonts w:hint="eastAsia" w:ascii="仿宋" w:hAnsi="仿宋" w:eastAsia="仿宋"/>
                <w:color w:val="auto"/>
                <w:sz w:val="24"/>
              </w:rPr>
              <w:t>购进量</w:t>
            </w:r>
          </w:p>
        </w:tc>
        <w:tc>
          <w:tcPr>
            <w:tcW w:w="1985" w:type="dxa"/>
            <w:gridSpan w:val="2"/>
            <w:noWrap w:val="0"/>
            <w:vAlign w:val="center"/>
          </w:tcPr>
          <w:p>
            <w:pPr>
              <w:jc w:val="center"/>
              <w:rPr>
                <w:rFonts w:hint="eastAsia" w:ascii="仿宋" w:hAnsi="仿宋" w:eastAsia="仿宋"/>
                <w:color w:val="auto"/>
                <w:sz w:val="24"/>
              </w:rPr>
            </w:pPr>
            <w:r>
              <w:rPr>
                <w:rFonts w:hint="eastAsia" w:ascii="仿宋" w:hAnsi="仿宋" w:eastAsia="仿宋"/>
                <w:color w:val="auto"/>
                <w:sz w:val="24"/>
              </w:rPr>
              <w:t>销售量</w:t>
            </w:r>
          </w:p>
        </w:tc>
        <w:tc>
          <w:tcPr>
            <w:tcW w:w="1701" w:type="dxa"/>
            <w:gridSpan w:val="2"/>
            <w:noWrap w:val="0"/>
            <w:vAlign w:val="center"/>
          </w:tcPr>
          <w:p>
            <w:pPr>
              <w:jc w:val="center"/>
              <w:rPr>
                <w:rFonts w:hint="eastAsia" w:ascii="仿宋" w:hAnsi="仿宋" w:eastAsia="仿宋"/>
                <w:color w:val="auto"/>
                <w:sz w:val="24"/>
              </w:rPr>
            </w:pPr>
            <w:r>
              <w:rPr>
                <w:rFonts w:hint="eastAsia" w:ascii="仿宋" w:hAnsi="仿宋" w:eastAsia="仿宋"/>
                <w:color w:val="auto"/>
                <w:sz w:val="24"/>
              </w:rPr>
              <w:t>库存量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68" w:type="dxa"/>
            <w:gridSpan w:val="2"/>
            <w:vMerge w:val="continue"/>
            <w:noWrap w:val="0"/>
            <w:vAlign w:val="center"/>
          </w:tcPr>
          <w:p>
            <w:pPr>
              <w:ind w:firstLine="489" w:firstLineChars="204"/>
              <w:jc w:val="center"/>
              <w:rPr>
                <w:rFonts w:ascii="仿宋" w:hAnsi="仿宋" w:eastAsia="仿宋"/>
                <w:color w:val="auto"/>
                <w:sz w:val="24"/>
              </w:rPr>
            </w:pPr>
          </w:p>
        </w:tc>
        <w:tc>
          <w:tcPr>
            <w:tcW w:w="1417" w:type="dxa"/>
            <w:gridSpan w:val="2"/>
            <w:tcBorders>
              <w:bottom w:val="single" w:color="auto" w:sz="4" w:space="0"/>
            </w:tcBorders>
            <w:noWrap w:val="0"/>
            <w:vAlign w:val="center"/>
          </w:tcPr>
          <w:p>
            <w:pPr>
              <w:jc w:val="center"/>
              <w:rPr>
                <w:rFonts w:ascii="仿宋" w:hAnsi="仿宋" w:eastAsia="仿宋"/>
                <w:color w:val="auto"/>
                <w:sz w:val="24"/>
              </w:rPr>
            </w:pPr>
            <w:r>
              <w:rPr>
                <w:rFonts w:hint="eastAsia" w:ascii="仿宋" w:hAnsi="仿宋" w:eastAsia="仿宋"/>
                <w:color w:val="auto"/>
                <w:sz w:val="24"/>
              </w:rPr>
              <w:t>汽油（吨）</w:t>
            </w:r>
          </w:p>
        </w:tc>
        <w:tc>
          <w:tcPr>
            <w:tcW w:w="2126"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c>
          <w:tcPr>
            <w:tcW w:w="1985"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c>
          <w:tcPr>
            <w:tcW w:w="1701"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68" w:type="dxa"/>
            <w:gridSpan w:val="2"/>
            <w:vMerge w:val="continue"/>
            <w:noWrap w:val="0"/>
            <w:vAlign w:val="center"/>
          </w:tcPr>
          <w:p>
            <w:pPr>
              <w:ind w:firstLine="489" w:firstLineChars="204"/>
              <w:jc w:val="center"/>
              <w:rPr>
                <w:rFonts w:ascii="仿宋" w:hAnsi="仿宋" w:eastAsia="仿宋"/>
                <w:color w:val="auto"/>
                <w:sz w:val="24"/>
              </w:rPr>
            </w:pPr>
          </w:p>
        </w:tc>
        <w:tc>
          <w:tcPr>
            <w:tcW w:w="1417" w:type="dxa"/>
            <w:gridSpan w:val="2"/>
            <w:tcBorders>
              <w:bottom w:val="single" w:color="auto" w:sz="4" w:space="0"/>
            </w:tcBorders>
            <w:noWrap w:val="0"/>
            <w:vAlign w:val="center"/>
          </w:tcPr>
          <w:p>
            <w:pPr>
              <w:jc w:val="center"/>
              <w:rPr>
                <w:rFonts w:ascii="仿宋" w:hAnsi="仿宋" w:eastAsia="仿宋"/>
                <w:color w:val="auto"/>
                <w:sz w:val="24"/>
              </w:rPr>
            </w:pPr>
            <w:r>
              <w:rPr>
                <w:rFonts w:hint="eastAsia" w:ascii="仿宋" w:hAnsi="仿宋" w:eastAsia="仿宋"/>
                <w:color w:val="auto"/>
                <w:sz w:val="24"/>
              </w:rPr>
              <w:t>煤油（吨）</w:t>
            </w:r>
          </w:p>
        </w:tc>
        <w:tc>
          <w:tcPr>
            <w:tcW w:w="2126"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c>
          <w:tcPr>
            <w:tcW w:w="1985"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c>
          <w:tcPr>
            <w:tcW w:w="1701"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68" w:type="dxa"/>
            <w:gridSpan w:val="2"/>
            <w:vMerge w:val="continue"/>
            <w:noWrap w:val="0"/>
            <w:vAlign w:val="center"/>
          </w:tcPr>
          <w:p>
            <w:pPr>
              <w:ind w:firstLine="489" w:firstLineChars="204"/>
              <w:jc w:val="center"/>
              <w:rPr>
                <w:rFonts w:ascii="仿宋" w:hAnsi="仿宋" w:eastAsia="仿宋"/>
                <w:color w:val="auto"/>
                <w:sz w:val="24"/>
              </w:rPr>
            </w:pPr>
          </w:p>
        </w:tc>
        <w:tc>
          <w:tcPr>
            <w:tcW w:w="1417" w:type="dxa"/>
            <w:gridSpan w:val="2"/>
            <w:tcBorders>
              <w:bottom w:val="single" w:color="auto" w:sz="4" w:space="0"/>
            </w:tcBorders>
            <w:noWrap w:val="0"/>
            <w:vAlign w:val="center"/>
          </w:tcPr>
          <w:p>
            <w:pPr>
              <w:jc w:val="center"/>
              <w:rPr>
                <w:rFonts w:ascii="仿宋" w:hAnsi="仿宋" w:eastAsia="仿宋"/>
                <w:color w:val="auto"/>
                <w:sz w:val="24"/>
              </w:rPr>
            </w:pPr>
            <w:r>
              <w:rPr>
                <w:rFonts w:hint="eastAsia" w:ascii="仿宋" w:hAnsi="仿宋" w:eastAsia="仿宋"/>
                <w:color w:val="auto"/>
                <w:sz w:val="24"/>
              </w:rPr>
              <w:t>柴油（吨）</w:t>
            </w:r>
          </w:p>
        </w:tc>
        <w:tc>
          <w:tcPr>
            <w:tcW w:w="2126"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c>
          <w:tcPr>
            <w:tcW w:w="1985"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c>
          <w:tcPr>
            <w:tcW w:w="1701"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68" w:type="dxa"/>
            <w:gridSpan w:val="2"/>
            <w:vMerge w:val="continue"/>
            <w:tcBorders>
              <w:bottom w:val="single" w:color="auto" w:sz="4" w:space="0"/>
            </w:tcBorders>
            <w:noWrap w:val="0"/>
            <w:vAlign w:val="center"/>
          </w:tcPr>
          <w:p>
            <w:pPr>
              <w:ind w:firstLine="489" w:firstLineChars="204"/>
              <w:jc w:val="center"/>
              <w:rPr>
                <w:rFonts w:ascii="仿宋" w:hAnsi="仿宋" w:eastAsia="仿宋"/>
                <w:color w:val="auto"/>
                <w:sz w:val="24"/>
              </w:rPr>
            </w:pPr>
          </w:p>
        </w:tc>
        <w:tc>
          <w:tcPr>
            <w:tcW w:w="1417" w:type="dxa"/>
            <w:gridSpan w:val="2"/>
            <w:tcBorders>
              <w:bottom w:val="single" w:color="auto" w:sz="4" w:space="0"/>
            </w:tcBorders>
            <w:noWrap w:val="0"/>
            <w:vAlign w:val="center"/>
          </w:tcPr>
          <w:p>
            <w:pPr>
              <w:jc w:val="center"/>
              <w:rPr>
                <w:rFonts w:hint="eastAsia" w:ascii="仿宋" w:hAnsi="仿宋" w:eastAsia="仿宋"/>
                <w:color w:val="auto"/>
                <w:sz w:val="24"/>
              </w:rPr>
            </w:pPr>
            <w:r>
              <w:rPr>
                <w:rFonts w:hint="eastAsia" w:ascii="仿宋" w:hAnsi="仿宋" w:eastAsia="仿宋"/>
                <w:color w:val="auto"/>
                <w:sz w:val="24"/>
              </w:rPr>
              <w:t>合计 (吨)</w:t>
            </w:r>
          </w:p>
        </w:tc>
        <w:tc>
          <w:tcPr>
            <w:tcW w:w="2126"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c>
          <w:tcPr>
            <w:tcW w:w="1985"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c>
          <w:tcPr>
            <w:tcW w:w="1701" w:type="dxa"/>
            <w:gridSpan w:val="2"/>
            <w:tcBorders>
              <w:bottom w:val="single" w:color="auto" w:sz="4" w:space="0"/>
            </w:tcBorders>
            <w:noWrap w:val="0"/>
            <w:vAlign w:val="center"/>
          </w:tcPr>
          <w:p>
            <w:pPr>
              <w:ind w:firstLine="489" w:firstLineChars="204"/>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01" w:type="dxa"/>
            <w:vMerge w:val="restart"/>
            <w:noWrap w:val="0"/>
            <w:vAlign w:val="center"/>
          </w:tcPr>
          <w:p>
            <w:pPr>
              <w:jc w:val="center"/>
              <w:rPr>
                <w:rFonts w:hint="eastAsia" w:ascii="仿宋" w:hAnsi="仿宋" w:eastAsia="仿宋"/>
                <w:color w:val="auto"/>
                <w:sz w:val="24"/>
              </w:rPr>
            </w:pPr>
            <w:r>
              <w:rPr>
                <w:rFonts w:hint="eastAsia" w:ascii="仿宋" w:hAnsi="仿宋" w:eastAsia="仿宋"/>
                <w:color w:val="auto"/>
                <w:sz w:val="24"/>
              </w:rPr>
              <w:t>企业</w:t>
            </w:r>
          </w:p>
          <w:p>
            <w:pPr>
              <w:jc w:val="center"/>
              <w:rPr>
                <w:rFonts w:hint="eastAsia" w:ascii="仿宋" w:hAnsi="仿宋" w:eastAsia="仿宋"/>
                <w:color w:val="auto"/>
                <w:sz w:val="24"/>
              </w:rPr>
            </w:pPr>
            <w:r>
              <w:rPr>
                <w:rFonts w:hint="eastAsia" w:ascii="仿宋" w:hAnsi="仿宋" w:eastAsia="仿宋"/>
                <w:color w:val="auto"/>
                <w:sz w:val="24"/>
              </w:rPr>
              <w:t>经营</w:t>
            </w:r>
          </w:p>
          <w:p>
            <w:pPr>
              <w:jc w:val="center"/>
              <w:rPr>
                <w:rFonts w:hint="eastAsia" w:ascii="仿宋" w:hAnsi="仿宋" w:eastAsia="仿宋"/>
                <w:color w:val="auto"/>
                <w:sz w:val="24"/>
              </w:rPr>
            </w:pPr>
            <w:r>
              <w:rPr>
                <w:rFonts w:hint="eastAsia" w:ascii="仿宋" w:hAnsi="仿宋" w:eastAsia="仿宋"/>
                <w:color w:val="auto"/>
                <w:sz w:val="24"/>
              </w:rPr>
              <w:t>证照</w:t>
            </w:r>
          </w:p>
        </w:tc>
        <w:tc>
          <w:tcPr>
            <w:tcW w:w="1984" w:type="dxa"/>
            <w:gridSpan w:val="3"/>
            <w:noWrap w:val="0"/>
            <w:vAlign w:val="center"/>
          </w:tcPr>
          <w:p>
            <w:pPr>
              <w:jc w:val="center"/>
              <w:rPr>
                <w:rFonts w:hint="eastAsia" w:ascii="仿宋" w:hAnsi="仿宋" w:eastAsia="仿宋"/>
                <w:color w:val="auto"/>
                <w:sz w:val="24"/>
              </w:rPr>
            </w:pPr>
            <w:r>
              <w:rPr>
                <w:rFonts w:hint="eastAsia" w:ascii="仿宋" w:hAnsi="仿宋" w:eastAsia="仿宋"/>
                <w:color w:val="auto"/>
                <w:sz w:val="24"/>
              </w:rPr>
              <w:t>证照名称</w:t>
            </w:r>
          </w:p>
        </w:tc>
        <w:tc>
          <w:tcPr>
            <w:tcW w:w="2126" w:type="dxa"/>
            <w:gridSpan w:val="2"/>
            <w:noWrap w:val="0"/>
            <w:vAlign w:val="center"/>
          </w:tcPr>
          <w:p>
            <w:pPr>
              <w:jc w:val="center"/>
              <w:rPr>
                <w:rFonts w:hint="eastAsia" w:ascii="仿宋" w:hAnsi="仿宋" w:eastAsia="仿宋"/>
                <w:color w:val="auto"/>
                <w:sz w:val="24"/>
              </w:rPr>
            </w:pPr>
            <w:r>
              <w:rPr>
                <w:rFonts w:hint="eastAsia" w:ascii="仿宋" w:hAnsi="仿宋" w:eastAsia="仿宋"/>
                <w:color w:val="auto"/>
                <w:sz w:val="24"/>
              </w:rPr>
              <w:t>证照编号</w:t>
            </w:r>
          </w:p>
        </w:tc>
        <w:tc>
          <w:tcPr>
            <w:tcW w:w="1985" w:type="dxa"/>
            <w:gridSpan w:val="2"/>
            <w:noWrap w:val="0"/>
            <w:vAlign w:val="center"/>
          </w:tcPr>
          <w:p>
            <w:pPr>
              <w:jc w:val="center"/>
              <w:rPr>
                <w:rFonts w:hint="eastAsia" w:ascii="仿宋" w:hAnsi="仿宋" w:eastAsia="仿宋"/>
                <w:color w:val="auto"/>
                <w:sz w:val="24"/>
              </w:rPr>
            </w:pPr>
            <w:r>
              <w:rPr>
                <w:rFonts w:hint="eastAsia" w:ascii="仿宋" w:hAnsi="仿宋" w:eastAsia="仿宋"/>
                <w:color w:val="auto"/>
                <w:sz w:val="24"/>
              </w:rPr>
              <w:t>发证时间</w:t>
            </w:r>
          </w:p>
        </w:tc>
        <w:tc>
          <w:tcPr>
            <w:tcW w:w="1701" w:type="dxa"/>
            <w:gridSpan w:val="2"/>
            <w:noWrap w:val="0"/>
            <w:vAlign w:val="center"/>
          </w:tcPr>
          <w:p>
            <w:pPr>
              <w:jc w:val="center"/>
              <w:rPr>
                <w:rFonts w:hint="eastAsia" w:ascii="仿宋" w:hAnsi="仿宋" w:eastAsia="仿宋"/>
                <w:color w:val="auto"/>
                <w:sz w:val="24"/>
              </w:rPr>
            </w:pPr>
            <w:r>
              <w:rPr>
                <w:rFonts w:hint="eastAsia" w:ascii="仿宋" w:hAnsi="仿宋" w:eastAsia="仿宋"/>
                <w:color w:val="auto"/>
                <w:sz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01" w:type="dxa"/>
            <w:vMerge w:val="continue"/>
            <w:noWrap w:val="0"/>
            <w:vAlign w:val="center"/>
          </w:tcPr>
          <w:p>
            <w:pPr>
              <w:rPr>
                <w:rFonts w:hint="eastAsia" w:ascii="仿宋" w:hAnsi="仿宋" w:eastAsia="仿宋"/>
                <w:color w:val="auto"/>
                <w:sz w:val="24"/>
              </w:rPr>
            </w:pPr>
          </w:p>
        </w:tc>
        <w:tc>
          <w:tcPr>
            <w:tcW w:w="1984" w:type="dxa"/>
            <w:gridSpan w:val="3"/>
            <w:noWrap w:val="0"/>
            <w:vAlign w:val="center"/>
          </w:tcPr>
          <w:p>
            <w:pPr>
              <w:jc w:val="center"/>
              <w:rPr>
                <w:rFonts w:hint="eastAsia" w:ascii="仿宋" w:hAnsi="仿宋" w:eastAsia="仿宋"/>
                <w:color w:val="auto"/>
                <w:szCs w:val="21"/>
              </w:rPr>
            </w:pPr>
            <w:r>
              <w:rPr>
                <w:rFonts w:hint="eastAsia" w:ascii="仿宋" w:hAnsi="仿宋" w:eastAsia="仿宋"/>
                <w:color w:val="auto"/>
                <w:sz w:val="24"/>
              </w:rPr>
              <w:t>成品油零售经营批准证书</w:t>
            </w:r>
          </w:p>
        </w:tc>
        <w:tc>
          <w:tcPr>
            <w:tcW w:w="2126" w:type="dxa"/>
            <w:gridSpan w:val="2"/>
            <w:noWrap w:val="0"/>
            <w:vAlign w:val="top"/>
          </w:tcPr>
          <w:p>
            <w:pPr>
              <w:ind w:firstLine="489" w:firstLineChars="204"/>
              <w:rPr>
                <w:rFonts w:ascii="仿宋" w:hAnsi="仿宋" w:eastAsia="仿宋"/>
                <w:color w:val="auto"/>
                <w:sz w:val="24"/>
              </w:rPr>
            </w:pPr>
          </w:p>
        </w:tc>
        <w:tc>
          <w:tcPr>
            <w:tcW w:w="1985" w:type="dxa"/>
            <w:gridSpan w:val="2"/>
            <w:noWrap w:val="0"/>
            <w:vAlign w:val="top"/>
          </w:tcPr>
          <w:p>
            <w:pPr>
              <w:ind w:firstLine="489" w:firstLineChars="204"/>
              <w:rPr>
                <w:rFonts w:ascii="仿宋" w:hAnsi="仿宋" w:eastAsia="仿宋"/>
                <w:color w:val="auto"/>
                <w:sz w:val="24"/>
              </w:rPr>
            </w:pPr>
          </w:p>
        </w:tc>
        <w:tc>
          <w:tcPr>
            <w:tcW w:w="1701" w:type="dxa"/>
            <w:gridSpan w:val="2"/>
            <w:noWrap w:val="0"/>
            <w:vAlign w:val="top"/>
          </w:tcPr>
          <w:p>
            <w:pPr>
              <w:ind w:firstLine="727" w:firstLineChars="303"/>
              <w:rPr>
                <w:rFonts w:hint="eastAsia"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01" w:type="dxa"/>
            <w:vMerge w:val="continue"/>
            <w:noWrap w:val="0"/>
            <w:vAlign w:val="center"/>
          </w:tcPr>
          <w:p>
            <w:pPr>
              <w:rPr>
                <w:rFonts w:hint="eastAsia" w:ascii="仿宋" w:hAnsi="仿宋" w:eastAsia="仿宋"/>
                <w:color w:val="auto"/>
                <w:sz w:val="24"/>
              </w:rPr>
            </w:pPr>
          </w:p>
        </w:tc>
        <w:tc>
          <w:tcPr>
            <w:tcW w:w="1984" w:type="dxa"/>
            <w:gridSpan w:val="3"/>
            <w:noWrap w:val="0"/>
            <w:vAlign w:val="center"/>
          </w:tcPr>
          <w:p>
            <w:pPr>
              <w:jc w:val="center"/>
              <w:rPr>
                <w:rFonts w:hint="eastAsia" w:ascii="仿宋" w:hAnsi="仿宋" w:eastAsia="仿宋"/>
                <w:color w:val="auto"/>
                <w:sz w:val="24"/>
              </w:rPr>
            </w:pPr>
            <w:r>
              <w:rPr>
                <w:rFonts w:hint="eastAsia" w:ascii="仿宋" w:hAnsi="仿宋" w:eastAsia="仿宋"/>
                <w:color w:val="auto"/>
                <w:sz w:val="24"/>
              </w:rPr>
              <w:t>营业执照</w:t>
            </w:r>
          </w:p>
        </w:tc>
        <w:tc>
          <w:tcPr>
            <w:tcW w:w="2126" w:type="dxa"/>
            <w:gridSpan w:val="2"/>
            <w:noWrap w:val="0"/>
            <w:vAlign w:val="top"/>
          </w:tcPr>
          <w:p>
            <w:pPr>
              <w:ind w:firstLine="489" w:firstLineChars="204"/>
              <w:rPr>
                <w:rFonts w:ascii="仿宋" w:hAnsi="仿宋" w:eastAsia="仿宋"/>
                <w:color w:val="auto"/>
                <w:sz w:val="24"/>
              </w:rPr>
            </w:pPr>
          </w:p>
        </w:tc>
        <w:tc>
          <w:tcPr>
            <w:tcW w:w="1985" w:type="dxa"/>
            <w:gridSpan w:val="2"/>
            <w:noWrap w:val="0"/>
            <w:vAlign w:val="top"/>
          </w:tcPr>
          <w:p>
            <w:pPr>
              <w:ind w:firstLine="489" w:firstLineChars="204"/>
              <w:rPr>
                <w:rFonts w:ascii="仿宋" w:hAnsi="仿宋" w:eastAsia="仿宋"/>
                <w:color w:val="auto"/>
                <w:sz w:val="24"/>
              </w:rPr>
            </w:pPr>
          </w:p>
        </w:tc>
        <w:tc>
          <w:tcPr>
            <w:tcW w:w="1701" w:type="dxa"/>
            <w:gridSpan w:val="2"/>
            <w:noWrap w:val="0"/>
            <w:vAlign w:val="top"/>
          </w:tcPr>
          <w:p>
            <w:pPr>
              <w:ind w:firstLine="489" w:firstLineChars="204"/>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01" w:type="dxa"/>
            <w:vMerge w:val="continue"/>
            <w:noWrap w:val="0"/>
            <w:vAlign w:val="center"/>
          </w:tcPr>
          <w:p>
            <w:pPr>
              <w:rPr>
                <w:rFonts w:hint="eastAsia" w:ascii="仿宋" w:hAnsi="仿宋" w:eastAsia="仿宋"/>
                <w:color w:val="auto"/>
                <w:sz w:val="24"/>
              </w:rPr>
            </w:pPr>
          </w:p>
        </w:tc>
        <w:tc>
          <w:tcPr>
            <w:tcW w:w="1984" w:type="dxa"/>
            <w:gridSpan w:val="3"/>
            <w:noWrap w:val="0"/>
            <w:vAlign w:val="center"/>
          </w:tcPr>
          <w:p>
            <w:pPr>
              <w:jc w:val="center"/>
              <w:rPr>
                <w:rFonts w:hint="eastAsia" w:ascii="仿宋" w:hAnsi="仿宋" w:eastAsia="仿宋"/>
                <w:color w:val="auto"/>
                <w:sz w:val="24"/>
              </w:rPr>
            </w:pPr>
            <w:r>
              <w:rPr>
                <w:rFonts w:hint="eastAsia" w:ascii="仿宋" w:hAnsi="仿宋" w:eastAsia="仿宋"/>
                <w:color w:val="auto"/>
                <w:sz w:val="24"/>
              </w:rPr>
              <w:t>危险化学品经营许可证</w:t>
            </w:r>
          </w:p>
        </w:tc>
        <w:tc>
          <w:tcPr>
            <w:tcW w:w="2126" w:type="dxa"/>
            <w:gridSpan w:val="2"/>
            <w:noWrap w:val="0"/>
            <w:vAlign w:val="top"/>
          </w:tcPr>
          <w:p>
            <w:pPr>
              <w:ind w:firstLine="489" w:firstLineChars="204"/>
              <w:rPr>
                <w:rFonts w:ascii="仿宋" w:hAnsi="仿宋" w:eastAsia="仿宋"/>
                <w:color w:val="auto"/>
                <w:sz w:val="24"/>
              </w:rPr>
            </w:pPr>
          </w:p>
        </w:tc>
        <w:tc>
          <w:tcPr>
            <w:tcW w:w="1985" w:type="dxa"/>
            <w:gridSpan w:val="2"/>
            <w:noWrap w:val="0"/>
            <w:vAlign w:val="top"/>
          </w:tcPr>
          <w:p>
            <w:pPr>
              <w:ind w:firstLine="489" w:firstLineChars="204"/>
              <w:rPr>
                <w:rFonts w:ascii="仿宋" w:hAnsi="仿宋" w:eastAsia="仿宋"/>
                <w:color w:val="auto"/>
                <w:sz w:val="24"/>
              </w:rPr>
            </w:pPr>
          </w:p>
        </w:tc>
        <w:tc>
          <w:tcPr>
            <w:tcW w:w="1701" w:type="dxa"/>
            <w:gridSpan w:val="2"/>
            <w:noWrap w:val="0"/>
            <w:vAlign w:val="top"/>
          </w:tcPr>
          <w:p>
            <w:pPr>
              <w:ind w:firstLine="489" w:firstLineChars="204"/>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2202" w:type="dxa"/>
            <w:gridSpan w:val="3"/>
            <w:noWrap w:val="0"/>
            <w:vAlign w:val="center"/>
          </w:tcPr>
          <w:p>
            <w:pPr>
              <w:rPr>
                <w:rFonts w:ascii="仿宋" w:hAnsi="仿宋" w:eastAsia="仿宋"/>
                <w:color w:val="auto"/>
                <w:sz w:val="24"/>
              </w:rPr>
            </w:pPr>
            <w:r>
              <w:rPr>
                <w:rFonts w:hint="eastAsia" w:ascii="仿宋" w:hAnsi="仿宋" w:eastAsia="仿宋"/>
                <w:color w:val="auto"/>
                <w:sz w:val="24"/>
              </w:rPr>
              <w:t>本年度企业在油品质量、计量、安全、环保、经营等方面被政府有关部门奖励、处罚的情况</w:t>
            </w:r>
          </w:p>
        </w:tc>
        <w:tc>
          <w:tcPr>
            <w:tcW w:w="6695" w:type="dxa"/>
            <w:gridSpan w:val="7"/>
            <w:noWrap w:val="0"/>
            <w:vAlign w:val="top"/>
          </w:tcPr>
          <w:p>
            <w:pPr>
              <w:ind w:firstLine="489" w:firstLineChars="204"/>
              <w:rPr>
                <w:rFonts w:hint="eastAsia" w:ascii="仿宋" w:hAnsi="仿宋" w:eastAsia="仿宋"/>
                <w:color w:val="auto"/>
                <w:sz w:val="24"/>
              </w:rPr>
            </w:pPr>
          </w:p>
          <w:p>
            <w:pPr>
              <w:ind w:firstLine="489" w:firstLineChars="204"/>
              <w:rPr>
                <w:rFonts w:hint="eastAsia" w:ascii="仿宋" w:hAnsi="仿宋" w:eastAsia="仿宋"/>
                <w:color w:val="auto"/>
                <w:sz w:val="24"/>
              </w:rPr>
            </w:pPr>
          </w:p>
          <w:p>
            <w:pPr>
              <w:ind w:firstLine="489" w:firstLineChars="204"/>
              <w:rPr>
                <w:rFonts w:hint="eastAsia" w:ascii="仿宋" w:hAnsi="仿宋" w:eastAsia="仿宋"/>
                <w:color w:val="auto"/>
                <w:sz w:val="24"/>
              </w:rPr>
            </w:pPr>
          </w:p>
          <w:p>
            <w:pPr>
              <w:ind w:firstLine="489" w:firstLineChars="204"/>
              <w:rPr>
                <w:rFonts w:hint="eastAsia" w:ascii="仿宋" w:hAnsi="仿宋" w:eastAsia="仿宋"/>
                <w:color w:val="auto"/>
                <w:sz w:val="24"/>
              </w:rPr>
            </w:pPr>
          </w:p>
          <w:p>
            <w:pPr>
              <w:ind w:firstLine="489" w:firstLineChars="204"/>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7" w:hRule="atLeast"/>
          <w:jc w:val="center"/>
        </w:trPr>
        <w:tc>
          <w:tcPr>
            <w:tcW w:w="2202" w:type="dxa"/>
            <w:gridSpan w:val="3"/>
            <w:noWrap w:val="0"/>
            <w:vAlign w:val="center"/>
          </w:tcPr>
          <w:p>
            <w:pPr>
              <w:jc w:val="center"/>
              <w:rPr>
                <w:rFonts w:ascii="仿宋" w:hAnsi="仿宋" w:eastAsia="仿宋"/>
                <w:color w:val="auto"/>
                <w:sz w:val="24"/>
              </w:rPr>
            </w:pPr>
            <w:r>
              <w:rPr>
                <w:rFonts w:hint="eastAsia" w:ascii="仿宋" w:hAnsi="仿宋" w:eastAsia="仿宋"/>
                <w:color w:val="auto"/>
                <w:sz w:val="24"/>
              </w:rPr>
              <w:t>加油站地址、库容变化情况说明</w:t>
            </w:r>
          </w:p>
        </w:tc>
        <w:tc>
          <w:tcPr>
            <w:tcW w:w="6695" w:type="dxa"/>
            <w:gridSpan w:val="7"/>
            <w:noWrap w:val="0"/>
            <w:vAlign w:val="bottom"/>
          </w:tcPr>
          <w:p>
            <w:pPr>
              <w:ind w:firstLine="489" w:firstLineChars="204"/>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2202" w:type="dxa"/>
            <w:gridSpan w:val="3"/>
            <w:noWrap w:val="0"/>
            <w:vAlign w:val="center"/>
          </w:tcPr>
          <w:p>
            <w:pPr>
              <w:jc w:val="center"/>
              <w:rPr>
                <w:rFonts w:ascii="仿宋" w:hAnsi="仿宋" w:eastAsia="仿宋"/>
                <w:color w:val="auto"/>
                <w:sz w:val="24"/>
              </w:rPr>
            </w:pPr>
            <w:r>
              <w:rPr>
                <w:rFonts w:hint="eastAsia" w:ascii="仿宋" w:hAnsi="仿宋" w:eastAsia="仿宋"/>
                <w:color w:val="auto"/>
                <w:sz w:val="24"/>
              </w:rPr>
              <w:t>企业申请说明</w:t>
            </w:r>
          </w:p>
        </w:tc>
        <w:tc>
          <w:tcPr>
            <w:tcW w:w="6695" w:type="dxa"/>
            <w:gridSpan w:val="7"/>
            <w:noWrap w:val="0"/>
            <w:vAlign w:val="bottom"/>
          </w:tcPr>
          <w:p>
            <w:pPr>
              <w:ind w:firstLine="240" w:firstLineChars="100"/>
              <w:rPr>
                <w:rFonts w:hint="eastAsia" w:ascii="仿宋" w:hAnsi="仿宋" w:eastAsia="仿宋"/>
                <w:color w:val="auto"/>
                <w:sz w:val="24"/>
              </w:rPr>
            </w:pPr>
            <w:r>
              <w:rPr>
                <w:rFonts w:hint="eastAsia" w:ascii="仿宋" w:hAnsi="仿宋" w:eastAsia="仿宋"/>
                <w:color w:val="auto"/>
                <w:sz w:val="24"/>
              </w:rPr>
              <w:t>法定代表人                             单位盖章</w:t>
            </w:r>
          </w:p>
          <w:p>
            <w:pPr>
              <w:ind w:firstLine="120" w:firstLineChars="50"/>
              <w:rPr>
                <w:rFonts w:hint="eastAsia" w:ascii="仿宋" w:hAnsi="仿宋" w:eastAsia="仿宋"/>
                <w:color w:val="auto"/>
                <w:sz w:val="24"/>
              </w:rPr>
            </w:pPr>
            <w:r>
              <w:rPr>
                <w:rFonts w:hint="eastAsia" w:ascii="仿宋" w:hAnsi="仿宋" w:eastAsia="仿宋"/>
                <w:color w:val="auto"/>
                <w:sz w:val="24"/>
              </w:rPr>
              <w:t>（负责人）签字</w:t>
            </w:r>
            <w:r>
              <w:rPr>
                <w:rFonts w:ascii="仿宋" w:hAnsi="仿宋" w:eastAsia="仿宋"/>
                <w:color w:val="auto"/>
                <w:sz w:val="24"/>
              </w:rPr>
              <w:t xml:space="preserve">  </w:t>
            </w:r>
            <w:r>
              <w:rPr>
                <w:rFonts w:hint="eastAsia" w:ascii="仿宋" w:hAnsi="仿宋" w:eastAsia="仿宋"/>
                <w:color w:val="auto"/>
                <w:sz w:val="24"/>
              </w:rPr>
              <w:t>　　　　       　　   年    月    日</w:t>
            </w:r>
          </w:p>
          <w:p>
            <w:pPr>
              <w:ind w:firstLine="120" w:firstLineChars="50"/>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2202" w:type="dxa"/>
            <w:gridSpan w:val="3"/>
            <w:noWrap w:val="0"/>
            <w:vAlign w:val="center"/>
          </w:tcPr>
          <w:p>
            <w:pPr>
              <w:jc w:val="center"/>
              <w:rPr>
                <w:rFonts w:ascii="仿宋" w:hAnsi="仿宋" w:eastAsia="仿宋"/>
                <w:color w:val="auto"/>
                <w:sz w:val="24"/>
              </w:rPr>
            </w:pPr>
            <w:r>
              <w:rPr>
                <w:rFonts w:hint="eastAsia" w:ascii="仿宋" w:hAnsi="仿宋" w:eastAsia="仿宋"/>
                <w:color w:val="auto"/>
                <w:sz w:val="24"/>
              </w:rPr>
              <w:t>审核部门年检意见</w:t>
            </w:r>
          </w:p>
        </w:tc>
        <w:tc>
          <w:tcPr>
            <w:tcW w:w="6695" w:type="dxa"/>
            <w:gridSpan w:val="7"/>
            <w:noWrap w:val="0"/>
            <w:vAlign w:val="bottom"/>
          </w:tcPr>
          <w:p>
            <w:pPr>
              <w:ind w:firstLine="489" w:firstLineChars="204"/>
              <w:rPr>
                <w:rFonts w:hint="eastAsia" w:ascii="仿宋" w:hAnsi="仿宋" w:eastAsia="仿宋"/>
                <w:color w:val="auto"/>
                <w:sz w:val="24"/>
              </w:rPr>
            </w:pPr>
          </w:p>
          <w:p>
            <w:pPr>
              <w:ind w:firstLine="489" w:firstLineChars="204"/>
              <w:rPr>
                <w:rFonts w:hint="eastAsia" w:ascii="仿宋" w:hAnsi="仿宋" w:eastAsia="仿宋"/>
                <w:color w:val="auto"/>
                <w:sz w:val="24"/>
              </w:rPr>
            </w:pPr>
          </w:p>
          <w:p>
            <w:pPr>
              <w:ind w:firstLine="489" w:firstLineChars="204"/>
              <w:rPr>
                <w:rFonts w:hint="eastAsia" w:ascii="仿宋" w:hAnsi="仿宋" w:eastAsia="仿宋"/>
                <w:color w:val="auto"/>
                <w:sz w:val="24"/>
              </w:rPr>
            </w:pPr>
            <w:r>
              <w:rPr>
                <w:rFonts w:hint="eastAsia" w:ascii="仿宋" w:hAnsi="仿宋" w:eastAsia="仿宋"/>
                <w:color w:val="auto"/>
                <w:sz w:val="24"/>
              </w:rPr>
              <w:t>经办人：</w:t>
            </w:r>
          </w:p>
          <w:p>
            <w:pPr>
              <w:ind w:firstLine="489" w:firstLineChars="204"/>
              <w:rPr>
                <w:rFonts w:hint="eastAsia" w:ascii="仿宋" w:hAnsi="仿宋" w:eastAsia="仿宋"/>
                <w:color w:val="auto"/>
                <w:sz w:val="24"/>
              </w:rPr>
            </w:pPr>
          </w:p>
          <w:p>
            <w:pPr>
              <w:ind w:firstLine="489" w:firstLineChars="204"/>
              <w:rPr>
                <w:rFonts w:hint="eastAsia" w:ascii="仿宋" w:hAnsi="仿宋" w:eastAsia="仿宋"/>
                <w:color w:val="auto"/>
                <w:sz w:val="24"/>
              </w:rPr>
            </w:pPr>
          </w:p>
          <w:p>
            <w:pPr>
              <w:ind w:firstLine="489" w:firstLineChars="204"/>
              <w:rPr>
                <w:rFonts w:hint="eastAsia" w:ascii="仿宋" w:hAnsi="仿宋" w:eastAsia="仿宋"/>
                <w:color w:val="auto"/>
                <w:sz w:val="24"/>
              </w:rPr>
            </w:pPr>
          </w:p>
          <w:p>
            <w:pPr>
              <w:ind w:firstLine="489" w:firstLineChars="204"/>
              <w:rPr>
                <w:rFonts w:hint="eastAsia" w:ascii="仿宋" w:hAnsi="仿宋" w:eastAsia="仿宋"/>
                <w:color w:val="auto"/>
                <w:sz w:val="24"/>
              </w:rPr>
            </w:pPr>
            <w:r>
              <w:rPr>
                <w:rFonts w:hint="eastAsia" w:ascii="仿宋" w:hAnsi="仿宋" w:eastAsia="仿宋"/>
                <w:color w:val="auto"/>
                <w:sz w:val="24"/>
              </w:rPr>
              <w:t>负责人：                              单位盖章</w:t>
            </w:r>
          </w:p>
          <w:p>
            <w:pPr>
              <w:ind w:firstLine="489" w:firstLineChars="204"/>
              <w:rPr>
                <w:rFonts w:hint="eastAsia" w:ascii="仿宋" w:hAnsi="仿宋" w:eastAsia="仿宋"/>
                <w:color w:val="auto"/>
                <w:sz w:val="24"/>
              </w:rPr>
            </w:pPr>
            <w:r>
              <w:rPr>
                <w:rFonts w:hint="eastAsia" w:ascii="仿宋" w:hAnsi="仿宋" w:eastAsia="仿宋"/>
                <w:color w:val="auto"/>
                <w:sz w:val="24"/>
              </w:rPr>
              <w:t xml:space="preserve">                                    年    月   日</w:t>
            </w:r>
          </w:p>
          <w:p>
            <w:pPr>
              <w:ind w:firstLine="0" w:firstLineChars="0"/>
              <w:rPr>
                <w:rFonts w:ascii="仿宋" w:hAnsi="仿宋" w:eastAsia="仿宋"/>
                <w:color w:val="auto"/>
                <w:sz w:val="24"/>
              </w:rPr>
            </w:pPr>
          </w:p>
        </w:tc>
      </w:tr>
    </w:tbl>
    <w:p>
      <w:pPr>
        <w:ind w:firstLine="489" w:firstLineChars="204"/>
        <w:rPr>
          <w:rFonts w:hint="eastAsia" w:ascii="仿宋" w:hAnsi="仿宋" w:eastAsia="仿宋"/>
          <w:color w:val="auto"/>
          <w:sz w:val="24"/>
        </w:rPr>
      </w:pPr>
    </w:p>
    <w:p>
      <w:pPr>
        <w:ind w:firstLine="489" w:firstLineChars="204"/>
        <w:rPr>
          <w:rFonts w:hint="eastAsia" w:ascii="仿宋" w:hAnsi="仿宋" w:eastAsia="仿宋"/>
          <w:color w:val="auto"/>
          <w:sz w:val="24"/>
        </w:rPr>
      </w:pPr>
      <w:r>
        <w:rPr>
          <w:rFonts w:hint="eastAsia" w:ascii="仿宋" w:hAnsi="仿宋" w:eastAsia="仿宋"/>
          <w:color w:val="auto"/>
          <w:sz w:val="24"/>
        </w:rPr>
        <w:t xml:space="preserve">申请日期：     年  </w:t>
      </w:r>
      <w:r>
        <w:rPr>
          <w:rFonts w:hint="eastAsia" w:ascii="仿宋" w:hAnsi="仿宋" w:eastAsia="仿宋"/>
          <w:color w:val="auto"/>
          <w:sz w:val="24"/>
          <w:lang w:val="en-US" w:eastAsia="zh-CN"/>
        </w:rPr>
        <w:t xml:space="preserve"> </w:t>
      </w:r>
      <w:r>
        <w:rPr>
          <w:rFonts w:hint="eastAsia" w:ascii="仿宋" w:hAnsi="仿宋" w:eastAsia="仿宋"/>
          <w:color w:val="auto"/>
          <w:sz w:val="24"/>
        </w:rPr>
        <w:t xml:space="preserve"> 月  </w:t>
      </w:r>
      <w:r>
        <w:rPr>
          <w:rFonts w:hint="eastAsia" w:ascii="仿宋" w:hAnsi="仿宋" w:eastAsia="仿宋"/>
          <w:color w:val="auto"/>
          <w:sz w:val="24"/>
          <w:lang w:val="en-US" w:eastAsia="zh-CN"/>
        </w:rPr>
        <w:t xml:space="preserve"> </w:t>
      </w:r>
      <w:r>
        <w:rPr>
          <w:rFonts w:hint="eastAsia" w:ascii="仿宋" w:hAnsi="仿宋" w:eastAsia="仿宋"/>
          <w:color w:val="auto"/>
          <w:sz w:val="24"/>
        </w:rPr>
        <w:t xml:space="preserve"> 日                     申办人签字：</w:t>
      </w:r>
    </w:p>
    <w:p>
      <w:pPr>
        <w:ind w:firstLine="0" w:firstLineChars="0"/>
        <w:rPr>
          <w:rFonts w:hint="eastAsia" w:ascii="仿宋" w:hAnsi="仿宋" w:eastAsia="仿宋"/>
          <w:color w:val="auto"/>
          <w:sz w:val="24"/>
        </w:rPr>
        <w:sectPr>
          <w:footerReference r:id="rId3" w:type="default"/>
          <w:pgSz w:w="11906" w:h="16838"/>
          <w:pgMar w:top="2098" w:right="1474" w:bottom="1984" w:left="1587" w:header="851" w:footer="992" w:gutter="0"/>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Autospacing="0" w:afterAutospacing="0"/>
        <w:ind w:firstLineChars="20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inline distT="0" distB="0" distL="114300" distR="114300">
            <wp:extent cx="8091805" cy="5572760"/>
            <wp:effectExtent l="0" t="0" r="10795" b="2540"/>
            <wp:docPr id="6" name="图片 6" descr="f35670b8370cfa77ac237829e0207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35670b8370cfa77ac237829e020773d"/>
                    <pic:cNvPicPr>
                      <a:picLocks noChangeAspect="1"/>
                    </pic:cNvPicPr>
                  </pic:nvPicPr>
                  <pic:blipFill>
                    <a:blip r:embed="rId5"/>
                    <a:stretch>
                      <a:fillRect/>
                    </a:stretch>
                  </pic:blipFill>
                  <pic:spPr>
                    <a:xfrm>
                      <a:off x="0" y="0"/>
                      <a:ext cx="8091805" cy="5572760"/>
                    </a:xfrm>
                    <a:prstGeom prst="rect">
                      <a:avLst/>
                    </a:prstGeom>
                  </pic:spPr>
                </pic:pic>
              </a:graphicData>
            </a:graphic>
          </wp:inline>
        </w:drawing>
      </w:r>
    </w:p>
    <w:sectPr>
      <w:pgSz w:w="16838" w:h="11906" w:orient="landscape"/>
      <w:pgMar w:top="1587" w:right="2098" w:bottom="1474" w:left="1984" w:header="851" w:footer="992" w:gutter="0"/>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方正楷体_GB2312">
    <w:altName w:val="楷体_GB2312"/>
    <w:panose1 w:val="02000000000000000000"/>
    <w:charset w:val="86"/>
    <w:family w:val="auto"/>
    <w:pitch w:val="default"/>
    <w:sig w:usb0="00000000" w:usb1="00000000" w:usb2="00000012" w:usb3="00000000" w:csb0="00040001"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2000000000000000000"/>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val="1"/>
  <w:embedSystemFonts/>
  <w:bordersDoNotSurroundHeader w:val="0"/>
  <w:bordersDoNotSurroundFooter w:val="0"/>
  <w:trackRevisions w:val="1"/>
  <w:documentProtection w:enforcement="0"/>
  <w:defaultTabStop w:val="420"/>
  <w:drawingGridVerticalSpacing w:val="158"/>
  <w:displayHorizontalDrawingGridEvery w:val="1"/>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5A6"/>
    <w:rsid w:val="00030FFC"/>
    <w:rsid w:val="000576DD"/>
    <w:rsid w:val="000D27E2"/>
    <w:rsid w:val="00103726"/>
    <w:rsid w:val="00130E55"/>
    <w:rsid w:val="00141D93"/>
    <w:rsid w:val="001443AB"/>
    <w:rsid w:val="001C3C7D"/>
    <w:rsid w:val="001D0DF6"/>
    <w:rsid w:val="001D4BB2"/>
    <w:rsid w:val="00202422"/>
    <w:rsid w:val="00207D22"/>
    <w:rsid w:val="00233B91"/>
    <w:rsid w:val="002653B7"/>
    <w:rsid w:val="00272743"/>
    <w:rsid w:val="00275CC7"/>
    <w:rsid w:val="002C263F"/>
    <w:rsid w:val="002E0C51"/>
    <w:rsid w:val="002F3125"/>
    <w:rsid w:val="00362E96"/>
    <w:rsid w:val="0049461A"/>
    <w:rsid w:val="004C6253"/>
    <w:rsid w:val="004E59FA"/>
    <w:rsid w:val="004E6CDE"/>
    <w:rsid w:val="004F5350"/>
    <w:rsid w:val="005226DE"/>
    <w:rsid w:val="0052702C"/>
    <w:rsid w:val="005405A6"/>
    <w:rsid w:val="0057455C"/>
    <w:rsid w:val="005860EA"/>
    <w:rsid w:val="005A55CD"/>
    <w:rsid w:val="005C4906"/>
    <w:rsid w:val="005E6AAF"/>
    <w:rsid w:val="00606F2C"/>
    <w:rsid w:val="0063146B"/>
    <w:rsid w:val="006448E2"/>
    <w:rsid w:val="00665AB5"/>
    <w:rsid w:val="00674415"/>
    <w:rsid w:val="006950D6"/>
    <w:rsid w:val="006970F7"/>
    <w:rsid w:val="006D6CE6"/>
    <w:rsid w:val="007844B8"/>
    <w:rsid w:val="007A512D"/>
    <w:rsid w:val="007A7601"/>
    <w:rsid w:val="007F377C"/>
    <w:rsid w:val="007F6CDD"/>
    <w:rsid w:val="008430D7"/>
    <w:rsid w:val="008650BB"/>
    <w:rsid w:val="008903DE"/>
    <w:rsid w:val="008A7D1C"/>
    <w:rsid w:val="008B6783"/>
    <w:rsid w:val="008D13DC"/>
    <w:rsid w:val="008F7240"/>
    <w:rsid w:val="00911E08"/>
    <w:rsid w:val="009B2D0C"/>
    <w:rsid w:val="009D732D"/>
    <w:rsid w:val="009E0B96"/>
    <w:rsid w:val="00A147AB"/>
    <w:rsid w:val="00A512FC"/>
    <w:rsid w:val="00A911E7"/>
    <w:rsid w:val="00A943FA"/>
    <w:rsid w:val="00B21F0D"/>
    <w:rsid w:val="00B30E4E"/>
    <w:rsid w:val="00B325B1"/>
    <w:rsid w:val="00B328E4"/>
    <w:rsid w:val="00B47C68"/>
    <w:rsid w:val="00B55B88"/>
    <w:rsid w:val="00B57BCD"/>
    <w:rsid w:val="00B87623"/>
    <w:rsid w:val="00B974A9"/>
    <w:rsid w:val="00BA341E"/>
    <w:rsid w:val="00BC1B87"/>
    <w:rsid w:val="00BC49D3"/>
    <w:rsid w:val="00BE0D80"/>
    <w:rsid w:val="00BF5F8B"/>
    <w:rsid w:val="00C145E3"/>
    <w:rsid w:val="00C24711"/>
    <w:rsid w:val="00C33DBF"/>
    <w:rsid w:val="00C77B79"/>
    <w:rsid w:val="00C8079E"/>
    <w:rsid w:val="00C870AA"/>
    <w:rsid w:val="00CA6DAC"/>
    <w:rsid w:val="00CA7A79"/>
    <w:rsid w:val="00CB05E6"/>
    <w:rsid w:val="00CE3E03"/>
    <w:rsid w:val="00D37804"/>
    <w:rsid w:val="00D800D6"/>
    <w:rsid w:val="00D829D6"/>
    <w:rsid w:val="00DB7962"/>
    <w:rsid w:val="00E067EE"/>
    <w:rsid w:val="00E23FA2"/>
    <w:rsid w:val="00EB6EFF"/>
    <w:rsid w:val="00ED5C30"/>
    <w:rsid w:val="00EF4DB1"/>
    <w:rsid w:val="00F1158A"/>
    <w:rsid w:val="00F354FF"/>
    <w:rsid w:val="00F715A7"/>
    <w:rsid w:val="00F912B1"/>
    <w:rsid w:val="00F978BB"/>
    <w:rsid w:val="00FB07AE"/>
    <w:rsid w:val="00FC3377"/>
    <w:rsid w:val="0225231D"/>
    <w:rsid w:val="02441989"/>
    <w:rsid w:val="037049FE"/>
    <w:rsid w:val="049B749C"/>
    <w:rsid w:val="04E622BB"/>
    <w:rsid w:val="052A21FF"/>
    <w:rsid w:val="05855251"/>
    <w:rsid w:val="077C4B2D"/>
    <w:rsid w:val="082A5712"/>
    <w:rsid w:val="0887158D"/>
    <w:rsid w:val="09C53C84"/>
    <w:rsid w:val="0A3D48DD"/>
    <w:rsid w:val="0A6E612D"/>
    <w:rsid w:val="0A74674D"/>
    <w:rsid w:val="0BBB17D4"/>
    <w:rsid w:val="0C01583A"/>
    <w:rsid w:val="0D74721F"/>
    <w:rsid w:val="0E4806A0"/>
    <w:rsid w:val="0EF855EB"/>
    <w:rsid w:val="0F725151"/>
    <w:rsid w:val="0FB00BF3"/>
    <w:rsid w:val="0FCE72CB"/>
    <w:rsid w:val="0FFBE735"/>
    <w:rsid w:val="114333A1"/>
    <w:rsid w:val="11EC4D88"/>
    <w:rsid w:val="122F22A3"/>
    <w:rsid w:val="123F0A7C"/>
    <w:rsid w:val="124A2743"/>
    <w:rsid w:val="13165211"/>
    <w:rsid w:val="1348033A"/>
    <w:rsid w:val="13CF03AF"/>
    <w:rsid w:val="13E20040"/>
    <w:rsid w:val="13F738C3"/>
    <w:rsid w:val="142C6220"/>
    <w:rsid w:val="15047986"/>
    <w:rsid w:val="150A4A31"/>
    <w:rsid w:val="1513711A"/>
    <w:rsid w:val="152216C8"/>
    <w:rsid w:val="1578538B"/>
    <w:rsid w:val="15D75320"/>
    <w:rsid w:val="169A3A63"/>
    <w:rsid w:val="16B40FC8"/>
    <w:rsid w:val="16CF5ACB"/>
    <w:rsid w:val="182E380A"/>
    <w:rsid w:val="18881732"/>
    <w:rsid w:val="1A365C57"/>
    <w:rsid w:val="1A98764B"/>
    <w:rsid w:val="1C264A09"/>
    <w:rsid w:val="1CC101C7"/>
    <w:rsid w:val="1D3E70C3"/>
    <w:rsid w:val="1F671498"/>
    <w:rsid w:val="1FEB79A2"/>
    <w:rsid w:val="200E78F3"/>
    <w:rsid w:val="206A60D0"/>
    <w:rsid w:val="214B71C8"/>
    <w:rsid w:val="214F7D3A"/>
    <w:rsid w:val="216B27D7"/>
    <w:rsid w:val="21DE2040"/>
    <w:rsid w:val="221D181A"/>
    <w:rsid w:val="22F9381E"/>
    <w:rsid w:val="23610E7B"/>
    <w:rsid w:val="23E46CC9"/>
    <w:rsid w:val="24441999"/>
    <w:rsid w:val="25417B0B"/>
    <w:rsid w:val="258C721B"/>
    <w:rsid w:val="26316317"/>
    <w:rsid w:val="26AE3531"/>
    <w:rsid w:val="26F2191A"/>
    <w:rsid w:val="277327DA"/>
    <w:rsid w:val="27AD5D3F"/>
    <w:rsid w:val="27F27928"/>
    <w:rsid w:val="289014F2"/>
    <w:rsid w:val="28DC7434"/>
    <w:rsid w:val="290A4E5B"/>
    <w:rsid w:val="290F029B"/>
    <w:rsid w:val="29852685"/>
    <w:rsid w:val="29F6E6D6"/>
    <w:rsid w:val="2A0B3736"/>
    <w:rsid w:val="2AF512FD"/>
    <w:rsid w:val="2B7663F5"/>
    <w:rsid w:val="2BCF738E"/>
    <w:rsid w:val="2C636E52"/>
    <w:rsid w:val="2CD03895"/>
    <w:rsid w:val="2DDA4747"/>
    <w:rsid w:val="2DE91DF6"/>
    <w:rsid w:val="2E17526F"/>
    <w:rsid w:val="2E2B5A45"/>
    <w:rsid w:val="2E5D38F5"/>
    <w:rsid w:val="2F0B0FAD"/>
    <w:rsid w:val="2FE85162"/>
    <w:rsid w:val="303C2E9C"/>
    <w:rsid w:val="3063591F"/>
    <w:rsid w:val="306955CD"/>
    <w:rsid w:val="30CC27DA"/>
    <w:rsid w:val="30F57DBC"/>
    <w:rsid w:val="31087E0C"/>
    <w:rsid w:val="312F34BF"/>
    <w:rsid w:val="319F5BAD"/>
    <w:rsid w:val="31EF1382"/>
    <w:rsid w:val="33685E6B"/>
    <w:rsid w:val="33F93038"/>
    <w:rsid w:val="341E0D4B"/>
    <w:rsid w:val="34766219"/>
    <w:rsid w:val="34B15BE2"/>
    <w:rsid w:val="35346A6E"/>
    <w:rsid w:val="35CF358A"/>
    <w:rsid w:val="363477DB"/>
    <w:rsid w:val="36A32B39"/>
    <w:rsid w:val="36EE6EFC"/>
    <w:rsid w:val="37054569"/>
    <w:rsid w:val="37774C83"/>
    <w:rsid w:val="37BE35FD"/>
    <w:rsid w:val="37E15D33"/>
    <w:rsid w:val="381274A5"/>
    <w:rsid w:val="39406EC3"/>
    <w:rsid w:val="3A0606BF"/>
    <w:rsid w:val="3AD76784"/>
    <w:rsid w:val="3ADD023E"/>
    <w:rsid w:val="3BDD601C"/>
    <w:rsid w:val="3BE35255"/>
    <w:rsid w:val="3C6E7BB4"/>
    <w:rsid w:val="3C9F773D"/>
    <w:rsid w:val="3D5A3DC8"/>
    <w:rsid w:val="3D986CCD"/>
    <w:rsid w:val="3DDC3898"/>
    <w:rsid w:val="3E5F7300"/>
    <w:rsid w:val="3ECC32A0"/>
    <w:rsid w:val="3ED80563"/>
    <w:rsid w:val="3F1A0510"/>
    <w:rsid w:val="3F626CFA"/>
    <w:rsid w:val="3F676329"/>
    <w:rsid w:val="3F9609BC"/>
    <w:rsid w:val="406A1E9B"/>
    <w:rsid w:val="41DA2635"/>
    <w:rsid w:val="41FC423E"/>
    <w:rsid w:val="42ED3256"/>
    <w:rsid w:val="43DB6F30"/>
    <w:rsid w:val="43E8534C"/>
    <w:rsid w:val="444A3D57"/>
    <w:rsid w:val="44DB3721"/>
    <w:rsid w:val="45562899"/>
    <w:rsid w:val="45CB4D77"/>
    <w:rsid w:val="46093CF1"/>
    <w:rsid w:val="466F579B"/>
    <w:rsid w:val="468C2B19"/>
    <w:rsid w:val="46932F3D"/>
    <w:rsid w:val="47B63B45"/>
    <w:rsid w:val="48CE6055"/>
    <w:rsid w:val="4A145228"/>
    <w:rsid w:val="4A2A606E"/>
    <w:rsid w:val="4A3A74EA"/>
    <w:rsid w:val="4ACA1E61"/>
    <w:rsid w:val="4B3774F7"/>
    <w:rsid w:val="4B7E5E68"/>
    <w:rsid w:val="4B885A3D"/>
    <w:rsid w:val="4C1E06B7"/>
    <w:rsid w:val="4C8005B9"/>
    <w:rsid w:val="4CFD3174"/>
    <w:rsid w:val="4D1B4718"/>
    <w:rsid w:val="4D2E76EB"/>
    <w:rsid w:val="4D3671F8"/>
    <w:rsid w:val="4E3057B3"/>
    <w:rsid w:val="4EA84268"/>
    <w:rsid w:val="4FB51180"/>
    <w:rsid w:val="4FC14622"/>
    <w:rsid w:val="4FC96B8B"/>
    <w:rsid w:val="50224EBB"/>
    <w:rsid w:val="5064009D"/>
    <w:rsid w:val="51B71EE0"/>
    <w:rsid w:val="51E66AA1"/>
    <w:rsid w:val="52572AAC"/>
    <w:rsid w:val="534140A6"/>
    <w:rsid w:val="53584E91"/>
    <w:rsid w:val="53A75BB5"/>
    <w:rsid w:val="53C40676"/>
    <w:rsid w:val="54D33745"/>
    <w:rsid w:val="557F6E20"/>
    <w:rsid w:val="55952B98"/>
    <w:rsid w:val="55C3357C"/>
    <w:rsid w:val="567071FC"/>
    <w:rsid w:val="56737851"/>
    <w:rsid w:val="573B7597"/>
    <w:rsid w:val="575F2EC5"/>
    <w:rsid w:val="57B3184C"/>
    <w:rsid w:val="57C141B1"/>
    <w:rsid w:val="59CD102D"/>
    <w:rsid w:val="5A0A5273"/>
    <w:rsid w:val="5A5B73CD"/>
    <w:rsid w:val="5AB61950"/>
    <w:rsid w:val="5BFE72EE"/>
    <w:rsid w:val="5CF3B7E0"/>
    <w:rsid w:val="5D2C58CF"/>
    <w:rsid w:val="5D5F6FC0"/>
    <w:rsid w:val="5D894BB5"/>
    <w:rsid w:val="5DFF254A"/>
    <w:rsid w:val="5E2E1C30"/>
    <w:rsid w:val="5F163938"/>
    <w:rsid w:val="5F903222"/>
    <w:rsid w:val="5FFF4911"/>
    <w:rsid w:val="60340051"/>
    <w:rsid w:val="609A35D6"/>
    <w:rsid w:val="60A24FBB"/>
    <w:rsid w:val="610E7639"/>
    <w:rsid w:val="6162299C"/>
    <w:rsid w:val="617F0617"/>
    <w:rsid w:val="624DFD25"/>
    <w:rsid w:val="628D21DF"/>
    <w:rsid w:val="62D62C56"/>
    <w:rsid w:val="64B33C3A"/>
    <w:rsid w:val="64DE6065"/>
    <w:rsid w:val="65257F68"/>
    <w:rsid w:val="657E2AD4"/>
    <w:rsid w:val="659358DC"/>
    <w:rsid w:val="663D5590"/>
    <w:rsid w:val="66417024"/>
    <w:rsid w:val="664E60E1"/>
    <w:rsid w:val="66B33A51"/>
    <w:rsid w:val="66DA7505"/>
    <w:rsid w:val="676C1E7F"/>
    <w:rsid w:val="677F7659"/>
    <w:rsid w:val="680E73DA"/>
    <w:rsid w:val="693276B8"/>
    <w:rsid w:val="69665AFA"/>
    <w:rsid w:val="69684366"/>
    <w:rsid w:val="6B9B7BFB"/>
    <w:rsid w:val="6C0618C6"/>
    <w:rsid w:val="6C814488"/>
    <w:rsid w:val="6D3D108D"/>
    <w:rsid w:val="6DA1222C"/>
    <w:rsid w:val="6DE07122"/>
    <w:rsid w:val="6E1A6AD8"/>
    <w:rsid w:val="6E445903"/>
    <w:rsid w:val="6E933DDF"/>
    <w:rsid w:val="6EFC1D3A"/>
    <w:rsid w:val="70FB4B37"/>
    <w:rsid w:val="711C0290"/>
    <w:rsid w:val="71A709EF"/>
    <w:rsid w:val="720A283C"/>
    <w:rsid w:val="72391A4F"/>
    <w:rsid w:val="723C2D56"/>
    <w:rsid w:val="725A21C1"/>
    <w:rsid w:val="73507E23"/>
    <w:rsid w:val="736925C9"/>
    <w:rsid w:val="73D47729"/>
    <w:rsid w:val="73D538F5"/>
    <w:rsid w:val="73F99AFF"/>
    <w:rsid w:val="73FEC2A7"/>
    <w:rsid w:val="74064CDC"/>
    <w:rsid w:val="740F3D36"/>
    <w:rsid w:val="749016A7"/>
    <w:rsid w:val="74B55DA6"/>
    <w:rsid w:val="74E956FD"/>
    <w:rsid w:val="757F020E"/>
    <w:rsid w:val="75B570E6"/>
    <w:rsid w:val="75FF0B9F"/>
    <w:rsid w:val="763921B9"/>
    <w:rsid w:val="776009F7"/>
    <w:rsid w:val="777B0B3A"/>
    <w:rsid w:val="77856735"/>
    <w:rsid w:val="77D67AA8"/>
    <w:rsid w:val="77DF015F"/>
    <w:rsid w:val="77DFC65A"/>
    <w:rsid w:val="77FF4F9E"/>
    <w:rsid w:val="787D5491"/>
    <w:rsid w:val="78E84C32"/>
    <w:rsid w:val="79F70A05"/>
    <w:rsid w:val="7AD87AFF"/>
    <w:rsid w:val="7AFF6892"/>
    <w:rsid w:val="7BA7AC60"/>
    <w:rsid w:val="7BF59A04"/>
    <w:rsid w:val="7C88232F"/>
    <w:rsid w:val="7D616EBC"/>
    <w:rsid w:val="7DC501C1"/>
    <w:rsid w:val="7E7D5AD5"/>
    <w:rsid w:val="7EF053B6"/>
    <w:rsid w:val="7EF47F0E"/>
    <w:rsid w:val="7F7E5BA0"/>
    <w:rsid w:val="7FFF02BB"/>
    <w:rsid w:val="7FFFC1D0"/>
    <w:rsid w:val="ABD32A18"/>
    <w:rsid w:val="AF77F3B4"/>
    <w:rsid w:val="AFD1ED6D"/>
    <w:rsid w:val="B2BFE299"/>
    <w:rsid w:val="BEFDC07C"/>
    <w:rsid w:val="C6FBE122"/>
    <w:rsid w:val="CC7A73CF"/>
    <w:rsid w:val="DF6F9885"/>
    <w:rsid w:val="DF77DF32"/>
    <w:rsid w:val="E1B3A445"/>
    <w:rsid w:val="E3ED2532"/>
    <w:rsid w:val="E9FF3C08"/>
    <w:rsid w:val="F6FF51B9"/>
    <w:rsid w:val="F7754D2C"/>
    <w:rsid w:val="F7DBFB84"/>
    <w:rsid w:val="FBF90A1B"/>
    <w:rsid w:val="FCF7FACE"/>
    <w:rsid w:val="FEEBD1F3"/>
    <w:rsid w:val="FF4F9598"/>
    <w:rsid w:val="FF7F77A2"/>
    <w:rsid w:val="FF9B4100"/>
    <w:rsid w:val="FFD951E1"/>
    <w:rsid w:val="FFFD0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ind w:firstLine="200" w:firstLineChars="200"/>
      <w:outlineLvl w:val="0"/>
    </w:pPr>
    <w:rPr>
      <w:rFonts w:eastAsia="黑体"/>
      <w:bCs/>
      <w:kern w:val="44"/>
      <w:sz w:val="32"/>
      <w:szCs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table of authorities"/>
    <w:basedOn w:val="1"/>
    <w:next w:val="1"/>
    <w:qFormat/>
    <w:uiPriority w:val="0"/>
    <w:pPr>
      <w:spacing w:before="100" w:beforeAutospacing="1" w:after="100" w:afterAutospacing="1"/>
      <w:ind w:left="200" w:leftChars="200"/>
    </w:pPr>
    <w:rPr>
      <w:rFonts w:ascii="Times New Roman" w:hAnsi="Times New Roman"/>
      <w:szCs w:val="21"/>
    </w:rPr>
  </w:style>
  <w:style w:type="paragraph" w:styleId="6">
    <w:name w:val="annotation text"/>
    <w:basedOn w:val="1"/>
    <w:link w:val="28"/>
    <w:qFormat/>
    <w:uiPriority w:val="0"/>
    <w:pPr>
      <w:jc w:val="left"/>
    </w:pPr>
  </w:style>
  <w:style w:type="paragraph" w:styleId="7">
    <w:name w:val="Body Text Indent"/>
    <w:basedOn w:val="1"/>
    <w:qFormat/>
    <w:uiPriority w:val="0"/>
    <w:pPr>
      <w:spacing w:line="480" w:lineRule="exact"/>
      <w:ind w:firstLine="571" w:firstLineChars="204"/>
    </w:pPr>
    <w:rPr>
      <w:rFonts w:ascii="仿宋_GB2312" w:eastAsia="仿宋_GB2312"/>
      <w:sz w:val="28"/>
      <w:szCs w:val="32"/>
    </w:rPr>
  </w:style>
  <w:style w:type="paragraph" w:styleId="8">
    <w:name w:val="Balloon Text"/>
    <w:basedOn w:val="1"/>
    <w:link w:val="23"/>
    <w:qFormat/>
    <w:uiPriority w:val="0"/>
    <w:rPr>
      <w:sz w:val="18"/>
      <w:szCs w:val="18"/>
    </w:rPr>
  </w:style>
  <w:style w:type="paragraph" w:styleId="9">
    <w:name w:val="footer"/>
    <w:basedOn w:val="1"/>
    <w:link w:val="25"/>
    <w:qFormat/>
    <w:uiPriority w:val="99"/>
    <w:pPr>
      <w:tabs>
        <w:tab w:val="center" w:pos="4153"/>
        <w:tab w:val="right" w:pos="8306"/>
      </w:tabs>
      <w:snapToGrid w:val="0"/>
      <w:jc w:val="left"/>
    </w:pPr>
    <w:rPr>
      <w:sz w:val="18"/>
      <w:szCs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qFormat/>
    <w:uiPriority w:val="0"/>
    <w:pPr>
      <w:spacing w:before="240" w:after="60"/>
      <w:jc w:val="center"/>
      <w:outlineLvl w:val="0"/>
    </w:pPr>
    <w:rPr>
      <w:rFonts w:ascii="Cambria" w:hAnsi="Cambria" w:cs="Times New Roman"/>
      <w:b/>
      <w:bCs/>
      <w:sz w:val="32"/>
      <w:szCs w:val="32"/>
    </w:rPr>
  </w:style>
  <w:style w:type="paragraph" w:styleId="13">
    <w:name w:val="annotation subject"/>
    <w:basedOn w:val="6"/>
    <w:next w:val="6"/>
    <w:link w:val="29"/>
    <w:qFormat/>
    <w:uiPriority w:val="0"/>
    <w:rPr>
      <w:b/>
      <w:bCs/>
    </w:rPr>
  </w:style>
  <w:style w:type="character" w:styleId="16">
    <w:name w:val="Strong"/>
    <w:basedOn w:val="15"/>
    <w:qFormat/>
    <w:uiPriority w:val="0"/>
    <w:rPr>
      <w:b/>
    </w:rPr>
  </w:style>
  <w:style w:type="character" w:styleId="17">
    <w:name w:val="page number"/>
    <w:basedOn w:val="15"/>
    <w:qFormat/>
    <w:uiPriority w:val="0"/>
  </w:style>
  <w:style w:type="character" w:styleId="18">
    <w:name w:val="Hyperlink"/>
    <w:basedOn w:val="15"/>
    <w:uiPriority w:val="0"/>
    <w:rPr>
      <w:color w:val="0000FF"/>
      <w:u w:val="single"/>
    </w:rPr>
  </w:style>
  <w:style w:type="character" w:styleId="19">
    <w:name w:val="annotation reference"/>
    <w:basedOn w:val="15"/>
    <w:qFormat/>
    <w:uiPriority w:val="0"/>
    <w:rPr>
      <w:sz w:val="21"/>
      <w:szCs w:val="21"/>
    </w:rPr>
  </w:style>
  <w:style w:type="paragraph" w:customStyle="1" w:styleId="20">
    <w:name w:val="Normal Indent1"/>
    <w:basedOn w:val="1"/>
    <w:qFormat/>
    <w:uiPriority w:val="0"/>
    <w:pPr>
      <w:spacing w:line="660" w:lineRule="exact"/>
      <w:ind w:firstLine="720" w:firstLineChars="200"/>
    </w:pPr>
    <w:rPr>
      <w:rFonts w:eastAsia="楷体_GB2312" w:cs="Times New Roman"/>
      <w:sz w:val="36"/>
      <w:szCs w:val="36"/>
    </w:rPr>
  </w:style>
  <w:style w:type="paragraph" w:customStyle="1" w:styleId="21">
    <w:name w:val="正文1"/>
    <w:next w:val="22"/>
    <w:qFormat/>
    <w:uiPriority w:val="0"/>
    <w:pPr>
      <w:widowControl w:val="0"/>
      <w:jc w:val="both"/>
    </w:pPr>
    <w:rPr>
      <w:rFonts w:ascii="Calibri" w:hAnsi="Calibri" w:eastAsia="宋体" w:cs="宋体"/>
      <w:kern w:val="2"/>
      <w:sz w:val="21"/>
      <w:szCs w:val="24"/>
      <w:lang w:val="en-US" w:eastAsia="zh-CN" w:bidi="ar-SA"/>
    </w:rPr>
  </w:style>
  <w:style w:type="paragraph" w:customStyle="1" w:styleId="22">
    <w:name w:val="正文文本1"/>
    <w:basedOn w:val="21"/>
    <w:qFormat/>
    <w:uiPriority w:val="0"/>
    <w:pPr>
      <w:spacing w:line="600" w:lineRule="exact"/>
      <w:jc w:val="center"/>
    </w:pPr>
    <w:rPr>
      <w:rFonts w:ascii="楷体_GB2312" w:hAnsi="楷体_GB2312" w:eastAsia="楷体_GB2312"/>
      <w:bCs/>
      <w:sz w:val="44"/>
    </w:rPr>
  </w:style>
  <w:style w:type="character" w:customStyle="1" w:styleId="23">
    <w:name w:val="批注框文本 字符"/>
    <w:basedOn w:val="15"/>
    <w:link w:val="8"/>
    <w:qFormat/>
    <w:uiPriority w:val="0"/>
    <w:rPr>
      <w:rFonts w:ascii="Calibri" w:hAnsi="Calibri"/>
      <w:kern w:val="2"/>
      <w:sz w:val="18"/>
      <w:szCs w:val="18"/>
    </w:rPr>
  </w:style>
  <w:style w:type="character" w:customStyle="1" w:styleId="24">
    <w:name w:val="页眉 字符"/>
    <w:basedOn w:val="15"/>
    <w:link w:val="10"/>
    <w:qFormat/>
    <w:uiPriority w:val="0"/>
    <w:rPr>
      <w:rFonts w:ascii="Calibri" w:hAnsi="Calibri"/>
      <w:kern w:val="2"/>
      <w:sz w:val="18"/>
      <w:szCs w:val="18"/>
    </w:rPr>
  </w:style>
  <w:style w:type="character" w:customStyle="1" w:styleId="25">
    <w:name w:val="页脚 字符"/>
    <w:basedOn w:val="15"/>
    <w:link w:val="9"/>
    <w:qFormat/>
    <w:uiPriority w:val="99"/>
    <w:rPr>
      <w:rFonts w:ascii="Calibri" w:hAnsi="Calibri"/>
      <w:kern w:val="2"/>
      <w:sz w:val="18"/>
      <w:szCs w:val="18"/>
    </w:rPr>
  </w:style>
  <w:style w:type="paragraph" w:customStyle="1" w:styleId="26">
    <w:name w:val="Revision"/>
    <w:hidden/>
    <w:unhideWhenUsed/>
    <w:qFormat/>
    <w:uiPriority w:val="99"/>
    <w:rPr>
      <w:rFonts w:ascii="Calibri" w:hAnsi="Calibri" w:eastAsia="宋体" w:cs="Times New Roman"/>
      <w:kern w:val="2"/>
      <w:sz w:val="21"/>
      <w:szCs w:val="24"/>
      <w:lang w:val="en-US" w:eastAsia="zh-CN" w:bidi="ar-SA"/>
    </w:rPr>
  </w:style>
  <w:style w:type="paragraph" w:styleId="27">
    <w:name w:val="List Paragraph"/>
    <w:basedOn w:val="1"/>
    <w:unhideWhenUsed/>
    <w:qFormat/>
    <w:uiPriority w:val="99"/>
    <w:pPr>
      <w:ind w:firstLine="420" w:firstLineChars="200"/>
    </w:pPr>
  </w:style>
  <w:style w:type="character" w:customStyle="1" w:styleId="28">
    <w:name w:val="批注文字 字符"/>
    <w:basedOn w:val="15"/>
    <w:link w:val="6"/>
    <w:qFormat/>
    <w:uiPriority w:val="0"/>
    <w:rPr>
      <w:rFonts w:ascii="Calibri" w:hAnsi="Calibri"/>
      <w:kern w:val="2"/>
      <w:sz w:val="21"/>
      <w:szCs w:val="24"/>
    </w:rPr>
  </w:style>
  <w:style w:type="character" w:customStyle="1" w:styleId="29">
    <w:name w:val="批注主题 字符"/>
    <w:basedOn w:val="28"/>
    <w:link w:val="13"/>
    <w:qFormat/>
    <w:uiPriority w:val="0"/>
    <w:rPr>
      <w:rFonts w:ascii="Calibri" w:hAnsi="Calibri"/>
      <w:b/>
      <w:bCs/>
      <w:kern w:val="2"/>
      <w:sz w:val="21"/>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Pages>
  <Words>15498</Words>
  <Characters>15727</Characters>
  <Lines>123</Lines>
  <Paragraphs>81</Paragraphs>
  <TotalTime>14</TotalTime>
  <ScaleCrop>false</ScaleCrop>
  <LinksUpToDate>false</LinksUpToDate>
  <CharactersWithSpaces>16380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2025-06-13T02:33:00Z</dcterms:created>
  <dc:creator>admin</dc:creator>
  <cp:lastModifiedBy>GUOQ</cp:lastModifiedBy>
  <cp:lastPrinted>2025-08-24T00:20:00Z</cp:lastPrinted>
  <dcterms:modified xsi:type="dcterms:W3CDTF">2025-09-02T08:20:42Z</dcterms:modified>
  <dc:title>厅运行处关于征求《贵州省成品油流通管理</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FA1DBEA993C74C1DB6D9A65CEA5E2861_13</vt:lpwstr>
  </property>
  <property fmtid="{D5CDD505-2E9C-101B-9397-08002B2CF9AE}" pid="4" name="KSOTemplateDocerSaveRecord">
    <vt:lpwstr>eyJoZGlkIjoiMzEwNTM5NzYwMDRjMzkwZTVkZjY2ODkwMGIxNGU0OTUiLCJ1c2VySWQiOiIxMjA3MzI3MTAyIn0=</vt:lpwstr>
  </property>
</Properties>
</file>