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42545</wp:posOffset>
                </wp:positionV>
                <wp:extent cx="4648835" cy="2934970"/>
                <wp:effectExtent l="0" t="0" r="18415" b="17780"/>
                <wp:wrapNone/>
                <wp:docPr id="4" name="文本框 4"/>
                <wp:cNvGraphicFramePr/>
                <a:graphic xmlns:a="http://schemas.openxmlformats.org/drawingml/2006/main">
                  <a:graphicData uri="http://schemas.microsoft.com/office/word/2010/wordprocessingShape">
                    <wps:wsp>
                      <wps:cNvSpPr txBox="1"/>
                      <wps:spPr>
                        <a:xfrm>
                          <a:off x="0" y="0"/>
                          <a:ext cx="4648835" cy="2934970"/>
                        </a:xfrm>
                        <a:prstGeom prst="rect">
                          <a:avLst/>
                        </a:prstGeom>
                        <a:gradFill rotWithShape="0">
                          <a:gsLst>
                            <a:gs pos="0">
                              <a:srgbClr val="FFFFFF"/>
                            </a:gs>
                            <a:gs pos="100000">
                              <a:srgbClr val="FFFFFF"/>
                            </a:gs>
                          </a:gsLst>
                          <a:lin ang="0"/>
                          <a:tileRect/>
                        </a:gradFill>
                        <a:ln>
                          <a:noFill/>
                        </a:ln>
                      </wps:spPr>
                      <wps:txbx>
                        <w:txbxContent>
                          <w:p>
                            <w:pPr>
                              <w:pStyle w:val="7"/>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Lines="0" w:after="0" w:afterLines="0" w:line="1100" w:lineRule="exact"/>
                              <w:ind w:left="0" w:leftChars="0" w:right="0" w:rightChars="0" w:firstLine="0"/>
                              <w:jc w:val="distribute"/>
                              <w:textAlignment w:val="auto"/>
                              <w:outlineLvl w:val="9"/>
                              <w:rPr>
                                <w:rFonts w:hint="eastAsia" w:ascii="方正小标宋简体" w:hAnsi="方正小标宋简体" w:eastAsia="方正小标宋简体" w:cs="方正小标宋简体"/>
                                <w:color w:val="FF0000"/>
                                <w:sz w:val="56"/>
                                <w:szCs w:val="56"/>
                                <w:shd w:val="clear" w:color="080000" w:fill="auto"/>
                                <w:lang w:val="en-US" w:eastAsia="zh-CN" w:bidi="ar-SA"/>
                              </w:rPr>
                            </w:pPr>
                            <w:r>
                              <w:rPr>
                                <w:rFonts w:hint="eastAsia" w:ascii="方正小标宋简体" w:hAnsi="方正小标宋简体" w:eastAsia="方正小标宋简体" w:cs="方正小标宋简体"/>
                                <w:color w:val="FF0000"/>
                                <w:sz w:val="56"/>
                                <w:szCs w:val="56"/>
                                <w:shd w:val="clear" w:color="080000" w:fill="auto"/>
                                <w:lang w:val="en-US" w:eastAsia="zh-CN" w:bidi="ar-SA"/>
                              </w:rPr>
                              <w:t>贵州省商务厅</w:t>
                            </w:r>
                          </w:p>
                          <w:p>
                            <w:pPr>
                              <w:pStyle w:val="7"/>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Lines="0" w:after="0" w:afterLines="0" w:line="1100" w:lineRule="exact"/>
                              <w:ind w:left="0" w:leftChars="0" w:right="0" w:rightChars="0" w:firstLine="0"/>
                              <w:jc w:val="distribute"/>
                              <w:textAlignment w:val="auto"/>
                              <w:outlineLvl w:val="9"/>
                              <w:rPr>
                                <w:rFonts w:hint="eastAsia" w:ascii="方正小标宋简体" w:hAnsi="方正小标宋简体" w:eastAsia="方正小标宋简体" w:cs="方正小标宋简体"/>
                                <w:color w:val="FF0000"/>
                                <w:sz w:val="56"/>
                                <w:szCs w:val="56"/>
                                <w:shd w:val="clear" w:color="080000" w:fill="auto"/>
                                <w:lang w:val="en-US" w:eastAsia="zh-CN" w:bidi="ar-SA"/>
                              </w:rPr>
                            </w:pPr>
                            <w:r>
                              <w:rPr>
                                <w:rFonts w:hint="eastAsia" w:ascii="方正小标宋简体" w:hAnsi="方正小标宋简体" w:eastAsia="方正小标宋简体" w:cs="方正小标宋简体"/>
                                <w:color w:val="FF0000"/>
                                <w:sz w:val="56"/>
                                <w:szCs w:val="56"/>
                                <w:shd w:val="clear" w:color="080000" w:fill="auto"/>
                                <w:lang w:val="en-US" w:eastAsia="zh-CN" w:bidi="ar-SA"/>
                              </w:rPr>
                              <w:t>贵州省财政厅</w:t>
                            </w:r>
                          </w:p>
                          <w:p>
                            <w:pPr>
                              <w:pStyle w:val="7"/>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Lines="0" w:after="0" w:afterLines="0" w:line="1100" w:lineRule="exact"/>
                              <w:ind w:left="0" w:leftChars="0" w:right="0" w:rightChars="0" w:firstLine="0"/>
                              <w:jc w:val="distribute"/>
                              <w:textAlignment w:val="auto"/>
                              <w:outlineLvl w:val="9"/>
                              <w:rPr>
                                <w:rFonts w:hint="eastAsia" w:ascii="方正小标宋简体" w:hAnsi="方正小标宋简体" w:eastAsia="方正小标宋简体" w:cs="方正小标宋简体"/>
                                <w:color w:val="FF0000"/>
                                <w:sz w:val="56"/>
                                <w:szCs w:val="56"/>
                                <w:shd w:val="clear" w:color="080000" w:fill="auto"/>
                                <w:lang w:val="en-US" w:eastAsia="zh-CN" w:bidi="ar-SA"/>
                              </w:rPr>
                            </w:pPr>
                            <w:r>
                              <w:rPr>
                                <w:rFonts w:hint="eastAsia" w:ascii="方正小标宋简体" w:hAnsi="方正小标宋简体" w:eastAsia="方正小标宋简体" w:cs="方正小标宋简体"/>
                                <w:color w:val="FF0000"/>
                                <w:sz w:val="56"/>
                                <w:szCs w:val="56"/>
                                <w:shd w:val="clear" w:color="080000" w:fill="auto"/>
                                <w:lang w:val="en-US" w:eastAsia="zh-CN" w:bidi="ar-SA"/>
                              </w:rPr>
                              <w:t>贵阳海关</w:t>
                            </w:r>
                          </w:p>
                          <w:p>
                            <w:pPr>
                              <w:pStyle w:val="7"/>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Lines="0" w:after="0" w:afterLines="0" w:line="1100" w:lineRule="exact"/>
                              <w:ind w:left="0" w:leftChars="0" w:right="0" w:rightChars="0" w:firstLine="0"/>
                              <w:jc w:val="distribute"/>
                              <w:textAlignment w:val="auto"/>
                              <w:outlineLvl w:val="9"/>
                              <w:rPr>
                                <w:rFonts w:hint="eastAsia" w:ascii="方正小标宋简体" w:hAnsi="方正小标宋简体" w:eastAsia="方正小标宋简体" w:cs="方正小标宋简体"/>
                                <w:color w:val="FF0000"/>
                                <w:sz w:val="56"/>
                                <w:szCs w:val="56"/>
                              </w:rPr>
                            </w:pPr>
                            <w:r>
                              <w:rPr>
                                <w:rFonts w:hint="eastAsia" w:ascii="方正小标宋简体" w:hAnsi="方正小标宋简体" w:eastAsia="方正小标宋简体" w:cs="方正小标宋简体"/>
                                <w:color w:val="FF0000"/>
                                <w:sz w:val="56"/>
                                <w:szCs w:val="56"/>
                                <w:shd w:val="clear" w:color="080000" w:fill="auto"/>
                                <w:lang w:val="en-US" w:eastAsia="zh-CN" w:bidi="ar-SA"/>
                              </w:rPr>
                              <w:t>国家税务总局贵州省税务局</w:t>
                            </w:r>
                          </w:p>
                        </w:txbxContent>
                      </wps:txbx>
                      <wps:bodyPr upright="1"/>
                    </wps:wsp>
                  </a:graphicData>
                </a:graphic>
              </wp:anchor>
            </w:drawing>
          </mc:Choice>
          <mc:Fallback>
            <w:pict>
              <v:shape id="_x0000_s1026" o:spid="_x0000_s1026" o:spt="202" type="#_x0000_t202" style="position:absolute;left:0pt;margin-left:-2pt;margin-top:3.35pt;height:231.1pt;width:366.05pt;z-index:251659264;mso-width-relative:page;mso-height-relative:page;" fillcolor="#FFFFFF" filled="t" stroked="f" coordsize="21600,21600" o:gfxdata="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sVQzNgAAAAIAQAADwAA&#10;AAAAAAABACAAAAAiAAAAZHJzL2Rvd25yZXYueG1sUEsBAhQAFAAAAAgAh07iQGYcUvrdAQAAsQMA&#10;AA4AAAAAAAAAAQAgAAAAJwEAAGRycy9lMm9Eb2MueG1sUEsFBgAAAAAGAAYAWQEAAHYFAAAAAA==&#10;">
                <v:fill type="gradient" on="t" color2="#FFFFFF" angle="90" focus="100%" focussize="0,0">
                  <o:fill type="gradientUnscaled" v:ext="backwardCompatible"/>
                </v:fill>
                <v:stroke on="f"/>
                <v:imagedata o:title=""/>
                <o:lock v:ext="edit" aspectratio="f"/>
                <v:textbox>
                  <w:txbxContent>
                    <w:p>
                      <w:pPr>
                        <w:pStyle w:val="7"/>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Lines="0" w:after="0" w:afterLines="0" w:line="1100" w:lineRule="exact"/>
                        <w:ind w:left="0" w:leftChars="0" w:right="0" w:rightChars="0" w:firstLine="0"/>
                        <w:jc w:val="distribute"/>
                        <w:textAlignment w:val="auto"/>
                        <w:outlineLvl w:val="9"/>
                        <w:rPr>
                          <w:rFonts w:hint="eastAsia" w:ascii="方正小标宋简体" w:hAnsi="方正小标宋简体" w:eastAsia="方正小标宋简体" w:cs="方正小标宋简体"/>
                          <w:color w:val="FF0000"/>
                          <w:sz w:val="56"/>
                          <w:szCs w:val="56"/>
                          <w:shd w:val="clear" w:color="080000" w:fill="auto"/>
                          <w:lang w:val="en-US" w:eastAsia="zh-CN" w:bidi="ar-SA"/>
                        </w:rPr>
                      </w:pPr>
                      <w:r>
                        <w:rPr>
                          <w:rFonts w:hint="eastAsia" w:ascii="方正小标宋简体" w:hAnsi="方正小标宋简体" w:eastAsia="方正小标宋简体" w:cs="方正小标宋简体"/>
                          <w:color w:val="FF0000"/>
                          <w:sz w:val="56"/>
                          <w:szCs w:val="56"/>
                          <w:shd w:val="clear" w:color="080000" w:fill="auto"/>
                          <w:lang w:val="en-US" w:eastAsia="zh-CN" w:bidi="ar-SA"/>
                        </w:rPr>
                        <w:t>贵州省商务厅</w:t>
                      </w:r>
                    </w:p>
                    <w:p>
                      <w:pPr>
                        <w:pStyle w:val="7"/>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Lines="0" w:after="0" w:afterLines="0" w:line="1100" w:lineRule="exact"/>
                        <w:ind w:left="0" w:leftChars="0" w:right="0" w:rightChars="0" w:firstLine="0"/>
                        <w:jc w:val="distribute"/>
                        <w:textAlignment w:val="auto"/>
                        <w:outlineLvl w:val="9"/>
                        <w:rPr>
                          <w:rFonts w:hint="eastAsia" w:ascii="方正小标宋简体" w:hAnsi="方正小标宋简体" w:eastAsia="方正小标宋简体" w:cs="方正小标宋简体"/>
                          <w:color w:val="FF0000"/>
                          <w:sz w:val="56"/>
                          <w:szCs w:val="56"/>
                          <w:shd w:val="clear" w:color="080000" w:fill="auto"/>
                          <w:lang w:val="en-US" w:eastAsia="zh-CN" w:bidi="ar-SA"/>
                        </w:rPr>
                      </w:pPr>
                      <w:r>
                        <w:rPr>
                          <w:rFonts w:hint="eastAsia" w:ascii="方正小标宋简体" w:hAnsi="方正小标宋简体" w:eastAsia="方正小标宋简体" w:cs="方正小标宋简体"/>
                          <w:color w:val="FF0000"/>
                          <w:sz w:val="56"/>
                          <w:szCs w:val="56"/>
                          <w:shd w:val="clear" w:color="080000" w:fill="auto"/>
                          <w:lang w:val="en-US" w:eastAsia="zh-CN" w:bidi="ar-SA"/>
                        </w:rPr>
                        <w:t>贵州省财政厅</w:t>
                      </w:r>
                    </w:p>
                    <w:p>
                      <w:pPr>
                        <w:pStyle w:val="7"/>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Lines="0" w:after="0" w:afterLines="0" w:line="1100" w:lineRule="exact"/>
                        <w:ind w:left="0" w:leftChars="0" w:right="0" w:rightChars="0" w:firstLine="0"/>
                        <w:jc w:val="distribute"/>
                        <w:textAlignment w:val="auto"/>
                        <w:outlineLvl w:val="9"/>
                        <w:rPr>
                          <w:rFonts w:hint="eastAsia" w:ascii="方正小标宋简体" w:hAnsi="方正小标宋简体" w:eastAsia="方正小标宋简体" w:cs="方正小标宋简体"/>
                          <w:color w:val="FF0000"/>
                          <w:sz w:val="56"/>
                          <w:szCs w:val="56"/>
                          <w:shd w:val="clear" w:color="080000" w:fill="auto"/>
                          <w:lang w:val="en-US" w:eastAsia="zh-CN" w:bidi="ar-SA"/>
                        </w:rPr>
                      </w:pPr>
                      <w:r>
                        <w:rPr>
                          <w:rFonts w:hint="eastAsia" w:ascii="方正小标宋简体" w:hAnsi="方正小标宋简体" w:eastAsia="方正小标宋简体" w:cs="方正小标宋简体"/>
                          <w:color w:val="FF0000"/>
                          <w:sz w:val="56"/>
                          <w:szCs w:val="56"/>
                          <w:shd w:val="clear" w:color="080000" w:fill="auto"/>
                          <w:lang w:val="en-US" w:eastAsia="zh-CN" w:bidi="ar-SA"/>
                        </w:rPr>
                        <w:t>贵阳海关</w:t>
                      </w:r>
                    </w:p>
                    <w:p>
                      <w:pPr>
                        <w:pStyle w:val="7"/>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Lines="0" w:after="0" w:afterLines="0" w:line="1100" w:lineRule="exact"/>
                        <w:ind w:left="0" w:leftChars="0" w:right="0" w:rightChars="0" w:firstLine="0"/>
                        <w:jc w:val="distribute"/>
                        <w:textAlignment w:val="auto"/>
                        <w:outlineLvl w:val="9"/>
                        <w:rPr>
                          <w:rFonts w:hint="eastAsia" w:ascii="方正小标宋简体" w:hAnsi="方正小标宋简体" w:eastAsia="方正小标宋简体" w:cs="方正小标宋简体"/>
                          <w:color w:val="FF0000"/>
                          <w:sz w:val="56"/>
                          <w:szCs w:val="56"/>
                        </w:rPr>
                      </w:pPr>
                      <w:r>
                        <w:rPr>
                          <w:rFonts w:hint="eastAsia" w:ascii="方正小标宋简体" w:hAnsi="方正小标宋简体" w:eastAsia="方正小标宋简体" w:cs="方正小标宋简体"/>
                          <w:color w:val="FF0000"/>
                          <w:sz w:val="56"/>
                          <w:szCs w:val="56"/>
                          <w:shd w:val="clear" w:color="080000" w:fill="auto"/>
                          <w:lang w:val="en-US" w:eastAsia="zh-CN" w:bidi="ar-SA"/>
                        </w:rPr>
                        <w:t>国家税务总局贵州省税务局</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4598670</wp:posOffset>
                </wp:positionH>
                <wp:positionV relativeFrom="paragraph">
                  <wp:posOffset>5080</wp:posOffset>
                </wp:positionV>
                <wp:extent cx="1071880" cy="785495"/>
                <wp:effectExtent l="0" t="0" r="13970" b="14605"/>
                <wp:wrapNone/>
                <wp:docPr id="6" name="文本框 6"/>
                <wp:cNvGraphicFramePr/>
                <a:graphic xmlns:a="http://schemas.openxmlformats.org/drawingml/2006/main">
                  <a:graphicData uri="http://schemas.microsoft.com/office/word/2010/wordprocessingShape">
                    <wps:wsp>
                      <wps:cNvSpPr txBox="1"/>
                      <wps:spPr>
                        <a:xfrm>
                          <a:off x="0" y="0"/>
                          <a:ext cx="1071880" cy="785495"/>
                        </a:xfrm>
                        <a:prstGeom prst="rect">
                          <a:avLst/>
                        </a:prstGeom>
                        <a:gradFill rotWithShape="0">
                          <a:gsLst>
                            <a:gs pos="0">
                              <a:srgbClr val="FFFFFF"/>
                            </a:gs>
                            <a:gs pos="100000">
                              <a:srgbClr val="FFFFFF"/>
                            </a:gs>
                          </a:gsLst>
                          <a:lin ang="0"/>
                          <a:tileRect/>
                        </a:gradFill>
                        <a:ln>
                          <a:noFill/>
                        </a:ln>
                      </wps:spPr>
                      <wps:txbx>
                        <w:txbxContent>
                          <w:p>
                            <w:pPr>
                              <w:jc w:val="center"/>
                              <w:rPr>
                                <w:rFonts w:hint="eastAsia" w:ascii="方正小标宋简体" w:hAnsi="方正小标宋简体" w:eastAsia="方正小标宋简体" w:cs="方正小标宋简体"/>
                                <w:color w:val="FF0000"/>
                                <w:sz w:val="64"/>
                                <w:szCs w:val="64"/>
                                <w:lang w:eastAsia="zh-CN"/>
                              </w:rPr>
                            </w:pPr>
                            <w:r>
                              <w:rPr>
                                <w:rFonts w:hint="eastAsia" w:ascii="方正小标宋简体" w:hAnsi="方正小标宋简体" w:eastAsia="方正小标宋简体" w:cs="方正小标宋简体"/>
                                <w:color w:val="FF0000"/>
                                <w:sz w:val="64"/>
                                <w:szCs w:val="64"/>
                                <w:lang w:eastAsia="zh-CN"/>
                              </w:rPr>
                              <w:t>文件</w:t>
                            </w:r>
                          </w:p>
                        </w:txbxContent>
                      </wps:txbx>
                      <wps:bodyPr upright="1"/>
                    </wps:wsp>
                  </a:graphicData>
                </a:graphic>
              </wp:anchor>
            </w:drawing>
          </mc:Choice>
          <mc:Fallback>
            <w:pict>
              <v:shape id="_x0000_s1026" o:spid="_x0000_s1026" o:spt="202" type="#_x0000_t202" style="position:absolute;left:0pt;margin-left:362.1pt;margin-top:0.4pt;height:61.85pt;width:84.4pt;z-index:251660288;mso-width-relative:page;mso-height-relative:page;" fillcolor="#FFFFFF" filled="t" stroked="f" coordsize="21600,21600" o:gfxdata="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AcoH9cAAAAIAQAADwAAAAAA&#10;AAABACAAAAAiAAAAZHJzL2Rvd25yZXYueG1sUEsBAhQAFAAAAAgAh07iQHUX0ojbAQAAsAMAAA4A&#10;AAAAAAAAAQAgAAAAJgEAAGRycy9lMm9Eb2MueG1sUEsFBgAAAAAGAAYAWQEAAHMFAAAAAA==&#10;">
                <v:fill type="gradient" on="t" color2="#FFFFFF" angle="90" focus="100%" focussize="0,0">
                  <o:fill type="gradientUnscaled" v:ext="backwardCompatible"/>
                </v:fill>
                <v:stroke on="f"/>
                <v:imagedata o:title=""/>
                <o:lock v:ext="edit" aspectratio="f"/>
                <v:textbox>
                  <w:txbxContent>
                    <w:p>
                      <w:pPr>
                        <w:jc w:val="center"/>
                        <w:rPr>
                          <w:rFonts w:hint="eastAsia" w:ascii="方正小标宋简体" w:hAnsi="方正小标宋简体" w:eastAsia="方正小标宋简体" w:cs="方正小标宋简体"/>
                          <w:color w:val="FF0000"/>
                          <w:sz w:val="64"/>
                          <w:szCs w:val="64"/>
                          <w:lang w:eastAsia="zh-CN"/>
                        </w:rPr>
                      </w:pPr>
                      <w:r>
                        <w:rPr>
                          <w:rFonts w:hint="eastAsia" w:ascii="方正小标宋简体" w:hAnsi="方正小标宋简体" w:eastAsia="方正小标宋简体" w:cs="方正小标宋简体"/>
                          <w:color w:val="FF0000"/>
                          <w:sz w:val="64"/>
                          <w:szCs w:val="64"/>
                          <w:lang w:eastAsia="zh-CN"/>
                        </w:rPr>
                        <w:t>文件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Times New Roman" w:hAnsi="Times New Roman" w:eastAsia="仿宋_GB2312" w:cs="Times New Roman"/>
          <w:color w:val="auto"/>
          <w:sz w:val="32"/>
          <w:szCs w:val="32"/>
          <w:lang w:eastAsia="zh-CN"/>
        </w:rPr>
        <w:t>黔商发〔</w:t>
      </w:r>
      <w:r>
        <w:rPr>
          <w:rFonts w:hint="eastAsia" w:ascii="Times New Roman" w:hAnsi="Times New Roman" w:eastAsia="仿宋_GB2312" w:cs="Times New Roman"/>
          <w:color w:val="auto"/>
          <w:sz w:val="32"/>
          <w:szCs w:val="32"/>
          <w:lang w:val="en-US" w:eastAsia="zh-CN"/>
        </w:rPr>
        <w:t>2021</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18</w:t>
      </w:r>
      <w:r>
        <w:rPr>
          <w:rFonts w:hint="eastAsia" w:ascii="Times New Roman" w:hAnsi="Times New Roman" w:eastAsia="仿宋_GB2312" w:cs="Times New Roman"/>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69215</wp:posOffset>
                </wp:positionV>
                <wp:extent cx="5833745" cy="635"/>
                <wp:effectExtent l="0" t="19050" r="14605" b="37465"/>
                <wp:wrapNone/>
                <wp:docPr id="5" name="直接连接符 5"/>
                <wp:cNvGraphicFramePr/>
                <a:graphic xmlns:a="http://schemas.openxmlformats.org/drawingml/2006/main">
                  <a:graphicData uri="http://schemas.microsoft.com/office/word/2010/wordprocessingShape">
                    <wps:wsp>
                      <wps:cNvCnPr/>
                      <wps:spPr>
                        <a:xfrm>
                          <a:off x="0" y="0"/>
                          <a:ext cx="583374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5pt;margin-top:5.45pt;height:0.05pt;width:459.35pt;z-index:251661312;mso-width-relative:page;mso-height-relative:page;" filled="f" stroked="t" coordsize="21600,21600" o:gfxdata="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qZwrdoAAAAJ&#10;AQAADwAAAAAAAAABACAAAAAiAAAAZHJzL2Rvd25yZXYueG1sUEsBAhQAFAAAAAgAh07iQPj6o0vh&#10;AQAAmQMAAA4AAAAAAAAAAQAgAAAAKQEAAGRycy9lMm9Eb2MueG1sUEsFBgAAAAAGAAYAWQEAAHwF&#10;A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贵州省商务厅</w:t>
      </w:r>
      <w:r>
        <w:rPr>
          <w:rFonts w:hint="eastAsia" w:ascii="方正小标宋简体" w:hAnsi="方正小标宋简体" w:eastAsia="方正小标宋简体" w:cs="方正小标宋简体"/>
          <w:sz w:val="44"/>
          <w:szCs w:val="44"/>
          <w:lang w:val="en-US" w:eastAsia="zh-CN"/>
        </w:rPr>
        <w:t xml:space="preserve"> 贵州省财政厅 贵阳海关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国家税务总局贵州省税务局关于印发《</w:t>
      </w:r>
      <w:r>
        <w:rPr>
          <w:rFonts w:hint="eastAsia" w:ascii="方正小标宋简体" w:hAnsi="方正小标宋简体" w:eastAsia="方正小标宋简体" w:cs="方正小标宋简体"/>
          <w:sz w:val="44"/>
          <w:szCs w:val="44"/>
          <w:lang w:eastAsia="zh-CN"/>
        </w:rPr>
        <w:t>贵州省</w:t>
      </w:r>
      <w:r>
        <w:rPr>
          <w:rFonts w:hint="eastAsia" w:ascii="方正小标宋简体" w:hAnsi="方正小标宋简体" w:eastAsia="方正小标宋简体" w:cs="方正小标宋简体"/>
          <w:sz w:val="44"/>
          <w:szCs w:val="44"/>
        </w:rPr>
        <w:t>外资研发中心享受科技创新进口税收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支持</w:t>
      </w:r>
      <w:r>
        <w:rPr>
          <w:rFonts w:hint="eastAsia" w:ascii="方正小标宋简体" w:hAnsi="方正小标宋简体" w:eastAsia="方正小标宋简体" w:cs="方正小标宋简体"/>
          <w:sz w:val="44"/>
          <w:szCs w:val="44"/>
        </w:rPr>
        <w:t>政策资格审核办法</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根据《财政部 国家税务总局 海关总署关于“十四五”期间支持科技创新进口税收政策的通知》（财关税〔2021〕23号）、《财政部 中央宣传部 国家发展改革委 教育部 科技部 工业和信息化部 民政部 商务部 文化和旅游部 海关总署 国家税务总局关于“十四五”期间支持科技创新进口税收政策管理办法的通知》（财关税〔2021〕24号）的有关规定，为规范、透明、高效贯彻执行外资研发中心享受科技创新进口税收政策，贵州省商务厅、贵州省财政厅、贵阳海关、国家税务总局贵州省税务局联合制定了《贵州省外资研发中心享受科技创新进口税收支持政策资格审核办法》，现予印发实施。</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贵州省商务厅               贵州省财政厅</w:t>
      </w:r>
    </w:p>
    <w:p>
      <w:pPr>
        <w:keepNext w:val="0"/>
        <w:keepLines w:val="0"/>
        <w:pageBreakBefore w:val="0"/>
        <w:widowControl w:val="0"/>
        <w:kinsoku/>
        <w:wordWrap/>
        <w:overflowPunct/>
        <w:topLinePunct w:val="0"/>
        <w:autoSpaceDE/>
        <w:autoSpaceDN/>
        <w:bidi w:val="0"/>
        <w:adjustRightInd/>
        <w:snapToGrid/>
        <w:spacing w:line="580" w:lineRule="exact"/>
        <w:ind w:firstLine="1609" w:firstLineChars="503"/>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1609" w:firstLineChars="503"/>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1609" w:firstLineChars="503"/>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贵阳海关                 国家税务总局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577" w:firstLineChars="1743"/>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贵州省税务局</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2021年7月13日</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贵州省</w:t>
      </w:r>
      <w:r>
        <w:rPr>
          <w:rFonts w:hint="eastAsia" w:ascii="方正小标宋简体" w:hAnsi="方正小标宋简体" w:eastAsia="方正小标宋简体" w:cs="方正小标宋简体"/>
          <w:sz w:val="44"/>
          <w:szCs w:val="44"/>
        </w:rPr>
        <w:t>外资研发中心享受科技创新进口</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税收</w:t>
      </w:r>
      <w:r>
        <w:rPr>
          <w:rFonts w:hint="eastAsia" w:ascii="方正小标宋简体" w:hAnsi="方正小标宋简体" w:eastAsia="方正小标宋简体" w:cs="方正小标宋简体"/>
          <w:sz w:val="44"/>
          <w:szCs w:val="44"/>
          <w:lang w:eastAsia="zh-CN"/>
        </w:rPr>
        <w:t>支持</w:t>
      </w:r>
      <w:r>
        <w:rPr>
          <w:rFonts w:hint="eastAsia" w:ascii="方正小标宋简体" w:hAnsi="方正小标宋简体" w:eastAsia="方正小标宋简体" w:cs="方正小标宋简体"/>
          <w:sz w:val="44"/>
          <w:szCs w:val="44"/>
        </w:rPr>
        <w:t>政策资格审核办法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根据《财政部 国家税务总局 海关总署关于“十四五”期间支持科技创新进口税收政策的通知》（财关税〔2021〕23号）、《财政部 中央宣传部 国家发展改革委 教育部 科技部 工业和信息化部 民政部 商务部 文化和旅游部 海关总署 国家税务总局关于“十四五”期间支持科技创新进口税收政策管理办法的通知》（财关税〔2021〕24号）、《外经贸部关于外商投资设立研发中心有关问题的通知》的有关规定，为规范、透明、高效贯彻执行外资研发中心享受科技创新进口税收政策，对我省享受政策外资研发中心资格进行审核，结合本省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本办法适用于本省行政区域内外资研发中心享受科技创新进口税收政策的资格审核工作。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外资研发中心享受科技创新进口税收政策资格由贵州省商务厅、贵州省财政厅、国家税务总局贵州省税务局、贵阳海关（以下简称审核部门）负责审核。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外资研发中心享受科技创新进口税收政策，应同时满足以下条件：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（一）研发费用标准：作为独立法人的，其投资总额不低于800万美元；作为公司内设部门或分公司的非独立法人的，其研发总投入不低于800万美元。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（二）专职研究与试验发展人员不低于80人。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（三）设立以来累计购置的设备原值不低于2000万元。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（四）上述第一、二、三条中，有关定义如下：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1.“投资总额”是指外商投资信息报告回执所载明的金额；</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2.“研发总投入”是指外商投资企业专门为设立和建设本研发中心而投入的资产，包括即将投入并签订购置合同的资产（应提交已采购资产清单和即将采购资产的合同清单）；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适用本办法的上述进口设备范围为进口科学研究、科技开发和教学用品免税清单所列商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外资研发中心享受科技创新进口税收政策资格审核申报工作每年集中开展2次，申报时间为每年3月1至10日和9月1至10日。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外资研发中心享受科技创新进口税收政策资格审核申报需提交以下材料：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（一）外资研发中心享受科技创新进口税收政策资格申请书。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（二）其他材料，包括：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1.外资研发中心享受科技创新进口税收政策资格审核表；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2.外资研发中心为独立</w:t>
      </w:r>
      <w:r>
        <w:rPr>
          <w:rFonts w:hint="eastAsia" w:ascii="仿宋_GB2312" w:hAnsi="仿宋_GB2312" w:eastAsia="仿宋_GB2312" w:cs="仿宋_GB2312"/>
          <w:sz w:val="32"/>
          <w:szCs w:val="32"/>
          <w:lang w:eastAsia="zh-CN"/>
        </w:rPr>
        <w:t>法人的，提交营业执照复印件和外商投资信息报告回执；外资研发中心为非独立法人的，应提交其所在外商投资企业的营业执照复印件；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3.外资研发中心为独立</w:t>
      </w:r>
      <w:r>
        <w:rPr>
          <w:rFonts w:hint="eastAsia" w:ascii="仿宋_GB2312" w:hAnsi="仿宋_GB2312" w:eastAsia="仿宋_GB2312" w:cs="仿宋_GB2312"/>
          <w:sz w:val="32"/>
          <w:szCs w:val="32"/>
          <w:lang w:eastAsia="zh-CN"/>
        </w:rPr>
        <w:t>法人的，提交</w:t>
      </w:r>
      <w:r>
        <w:rPr>
          <w:rFonts w:hint="eastAsia" w:ascii="仿宋_GB2312" w:hAnsi="仿宋_GB2312" w:eastAsia="仿宋_GB2312" w:cs="仿宋_GB2312"/>
          <w:sz w:val="32"/>
          <w:szCs w:val="32"/>
          <w:lang w:val="en-US" w:eastAsia="zh-CN"/>
        </w:rPr>
        <w:t>上一年度审计报告复印件；</w:t>
      </w:r>
      <w:r>
        <w:rPr>
          <w:rFonts w:hint="eastAsia" w:ascii="仿宋_GB2312" w:hAnsi="仿宋_GB2312" w:eastAsia="仿宋_GB2312" w:cs="仿宋_GB2312"/>
          <w:sz w:val="32"/>
          <w:szCs w:val="32"/>
          <w:lang w:eastAsia="zh-CN"/>
        </w:rPr>
        <w:t>外资研发中心为非独立法人的，应提交其所在外商投资企业</w:t>
      </w:r>
      <w:r>
        <w:rPr>
          <w:rFonts w:hint="eastAsia" w:ascii="仿宋_GB2312" w:hAnsi="仿宋_GB2312" w:eastAsia="仿宋_GB2312" w:cs="仿宋_GB2312"/>
          <w:sz w:val="32"/>
          <w:szCs w:val="32"/>
          <w:lang w:val="en-US" w:eastAsia="zh-CN"/>
        </w:rPr>
        <w:t>上一年度审计报告复印件；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4.外资研发中心研发费用支出明细；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5.外资研发中心购置设备清单及支出明细；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6.专职研究与试验发展人员名册（包括姓名、工作岗位、劳动合同期限、联系方式等）；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7.外资研发中心承诺申报材料真实有效并承担法律责任的承诺函。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8.审核部门要求提交的其他材料。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外资研发中心享受科技创新进口税收政策资格申报和审核流程如下：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（一）申报单位于申报期内向贵州省商务厅提交申请及相关材料。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审核部门召开评审会议，按照财关税〔2021〕23号、财关税〔2021〕24号文件所列条件，对申报单位上报的申请材料进行审核。如有必要，视情况邀请相关行业专家参与评审会议。会议研究形成决定或审核意见，经各部门会签后出具认定结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符合条件的外资研发中心，由贵州省商务厅负责对外发布公告，函告贵阳海关，抄送贵州省财政厅、国家税务总局贵州省税务局，并报送商务部。对不符合条件的外资研发中心，由贵州省商务厅根据会签认定结果出具书面告知书，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上述公告或书面告知书应在审核部门受理申请之日起30个工作日之内做出。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审核部门每两年对已享受科技创新进口税收政策资格的外资研发中心进行资格复审，各外资研发中心应提前30个工作日主动申报复审。未按时复审或未能通过复审的外资研发中心，取消其享受科技创新进口税收政策资格。复审的申报材料和审核流程参见本办法的申报材料和审核流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复审结果发布参见本办法第七条第三款相关规定。复审合格的外资研发中心，继续享受科技创新进口税收政策资格；复审不合格的外资研发中心，取消其享受科技创新进口税收政策资格。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审核部门在共同审核认定外资研发中心资格的过程中，如有必要，可到企业查阅有关资料，了解具体情况，核实企业报送的申请材料的真实性。同时应注意加强对企业的政策指导和服务，提高工作效率。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作为独立法人的外资研发中心和非独立法人外资研发中心所在的外商投资企业发生名称、经营范围变更等情形的，应在情形发生后及时将有关变更情况说明报送至贵州省商务厅。贵州省商务厅按照本办法规定的程序，会同其他审核部门审核变更后的外资研发中心自变更登记之日起能否继续享受科技创新进口税收政策。审核结果发布参见本办法第七条第三款相关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全年受理变更申报业务，申报时间为每月1至7日。变更的申报材料和审核流程，根据实际情况，参见本办法申报材料和审核流程。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审核部门应加强信息互通，对外资研发中心如存在以虚报情况获得免税资格的情况及时通报相关部门。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贵州省商务厅应将《外资研发中心享受科技创新进口税收政策资格审核表》有关信息及时录入外商投资综合管理应用服务事项模块。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本办法自发布之日起实施，有效期至2025年12月31日。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w w:val="95"/>
          <w:sz w:val="32"/>
          <w:szCs w:val="32"/>
          <w:lang w:val="en-US" w:eastAsia="zh-CN"/>
        </w:rPr>
        <w:t>外资研发中心享受科技创新进口税收政策资格审核表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w w:val="100"/>
          <w:sz w:val="32"/>
          <w:szCs w:val="32"/>
          <w:lang w:val="en-US" w:eastAsia="zh-CN"/>
        </w:rPr>
      </w:pPr>
      <w:r>
        <w:rPr>
          <w:rFonts w:hint="eastAsia" w:ascii="黑体" w:hAnsi="黑体" w:eastAsia="黑体" w:cs="黑体"/>
          <w:w w:val="100"/>
          <w:sz w:val="32"/>
          <w:szCs w:val="32"/>
          <w:lang w:val="en-US" w:eastAsia="zh-CN"/>
        </w:rPr>
        <w:t>附  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1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100"/>
          <w:sz w:val="32"/>
          <w:szCs w:val="32"/>
          <w:lang w:val="en-US" w:eastAsia="zh-CN"/>
        </w:rPr>
      </w:pPr>
      <w:r>
        <w:rPr>
          <w:rFonts w:hint="eastAsia" w:ascii="方正小标宋简体" w:hAnsi="方正小标宋简体" w:eastAsia="方正小标宋简体" w:cs="方正小标宋简体"/>
          <w:w w:val="100"/>
          <w:sz w:val="32"/>
          <w:szCs w:val="32"/>
          <w:lang w:val="en-US" w:eastAsia="zh-CN"/>
        </w:rPr>
        <w:t>外资研发中心享受科技创新进口税收政策资格审核表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w w:val="100"/>
          <w:sz w:val="21"/>
          <w:szCs w:val="21"/>
          <w:lang w:val="en-US" w:eastAsia="zh-CN"/>
        </w:rPr>
      </w:pPr>
      <w:r>
        <w:rPr>
          <w:rFonts w:hint="eastAsia" w:ascii="宋体" w:hAnsi="宋体" w:eastAsia="宋体" w:cs="宋体"/>
          <w:w w:val="100"/>
          <w:sz w:val="21"/>
          <w:szCs w:val="21"/>
          <w:lang w:val="en-US" w:eastAsia="zh-CN"/>
        </w:rPr>
        <w:t xml:space="preserve">                                                编码：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91"/>
        <w:gridCol w:w="373"/>
        <w:gridCol w:w="1118"/>
        <w:gridCol w:w="746"/>
        <w:gridCol w:w="745"/>
        <w:gridCol w:w="1119"/>
        <w:gridCol w:w="372"/>
        <w:gridCol w:w="249"/>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研发中心名称</w:t>
            </w:r>
          </w:p>
        </w:tc>
        <w:tc>
          <w:tcPr>
            <w:tcW w:w="7457"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设立批准机关</w:t>
            </w:r>
          </w:p>
        </w:tc>
        <w:tc>
          <w:tcPr>
            <w:tcW w:w="7457"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统一社会信用代码</w:t>
            </w:r>
          </w:p>
        </w:tc>
        <w:tc>
          <w:tcPr>
            <w:tcW w:w="298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c>
          <w:tcPr>
            <w:tcW w:w="149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研发中心设立日期</w:t>
            </w:r>
          </w:p>
        </w:tc>
        <w:tc>
          <w:tcPr>
            <w:tcW w:w="2984"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研发中心性质</w:t>
            </w:r>
          </w:p>
        </w:tc>
        <w:tc>
          <w:tcPr>
            <w:tcW w:w="7457"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□独立法人             □分公司             □内设部门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经营范围</w:t>
            </w:r>
          </w:p>
        </w:tc>
        <w:tc>
          <w:tcPr>
            <w:tcW w:w="7457"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研发领域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（可多选）</w:t>
            </w:r>
          </w:p>
        </w:tc>
        <w:tc>
          <w:tcPr>
            <w:tcW w:w="7457"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 xml:space="preserve">□电子  □生物医药  □新能源  □新材料  □环保  □汽车  □化工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w w:val="100"/>
                <w:sz w:val="21"/>
                <w:szCs w:val="21"/>
                <w:u w:val="single"/>
                <w:vertAlign w:val="baseline"/>
                <w:lang w:val="en-US" w:eastAsia="zh-CN"/>
              </w:rPr>
            </w:pPr>
            <w:r>
              <w:rPr>
                <w:rFonts w:hint="eastAsia" w:ascii="宋体" w:hAnsi="宋体" w:eastAsia="宋体" w:cs="宋体"/>
                <w:w w:val="100"/>
                <w:sz w:val="21"/>
                <w:szCs w:val="21"/>
                <w:vertAlign w:val="baseline"/>
                <w:lang w:val="en-US" w:eastAsia="zh-CN"/>
              </w:rPr>
              <w:sym w:font="Wingdings 2" w:char="0052"/>
            </w:r>
            <w:r>
              <w:rPr>
                <w:rFonts w:hint="eastAsia" w:ascii="宋体" w:hAnsi="宋体" w:eastAsia="宋体" w:cs="宋体"/>
                <w:w w:val="100"/>
                <w:sz w:val="21"/>
                <w:szCs w:val="21"/>
                <w:vertAlign w:val="baseline"/>
                <w:lang w:val="en-US" w:eastAsia="zh-CN"/>
              </w:rPr>
              <w:t>农业  □软件开发  □专用设备  □轻工  □其他</w:t>
            </w:r>
            <w:r>
              <w:rPr>
                <w:rFonts w:hint="eastAsia" w:ascii="宋体" w:hAnsi="宋体" w:eastAsia="宋体" w:cs="宋体"/>
                <w:w w:val="100"/>
                <w:sz w:val="21"/>
                <w:szCs w:val="21"/>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投资总额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（万美元）</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c>
          <w:tcPr>
            <w:tcW w:w="149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研发总投入（万美元）</w:t>
            </w:r>
          </w:p>
        </w:tc>
        <w:tc>
          <w:tcPr>
            <w:tcW w:w="149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c>
          <w:tcPr>
            <w:tcW w:w="174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专职研究与试验发展人员人数</w:t>
            </w:r>
          </w:p>
        </w:tc>
        <w:tc>
          <w:tcPr>
            <w:tcW w:w="12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研发经费年支出额（万元）</w:t>
            </w:r>
          </w:p>
        </w:tc>
        <w:tc>
          <w:tcPr>
            <w:tcW w:w="298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c>
          <w:tcPr>
            <w:tcW w:w="149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已缴纳税金（元）</w:t>
            </w:r>
          </w:p>
        </w:tc>
        <w:tc>
          <w:tcPr>
            <w:tcW w:w="2984"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设立以来累计购置设备原值（万元）</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进口设备</w:t>
            </w:r>
          </w:p>
        </w:tc>
        <w:tc>
          <w:tcPr>
            <w:tcW w:w="5966"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采购国产设备</w:t>
            </w:r>
          </w:p>
        </w:tc>
        <w:tc>
          <w:tcPr>
            <w:tcW w:w="5966"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总计</w:t>
            </w:r>
          </w:p>
        </w:tc>
        <w:tc>
          <w:tcPr>
            <w:tcW w:w="5966"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联系人</w:t>
            </w:r>
          </w:p>
        </w:tc>
        <w:tc>
          <w:tcPr>
            <w:tcW w:w="1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c>
          <w:tcPr>
            <w:tcW w:w="149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手机号码</w:t>
            </w:r>
          </w:p>
        </w:tc>
        <w:tc>
          <w:tcPr>
            <w:tcW w:w="149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c>
          <w:tcPr>
            <w:tcW w:w="149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传真</w:t>
            </w:r>
          </w:p>
        </w:tc>
        <w:tc>
          <w:tcPr>
            <w:tcW w:w="149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以下由审核部门填写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9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审核意见</w:t>
            </w:r>
          </w:p>
        </w:tc>
        <w:tc>
          <w:tcPr>
            <w:tcW w:w="5964"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c>
          <w:tcPr>
            <w:tcW w:w="149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9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c>
          <w:tcPr>
            <w:tcW w:w="5964"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c>
          <w:tcPr>
            <w:tcW w:w="149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审核人员签字</w:t>
            </w:r>
          </w:p>
        </w:tc>
        <w:tc>
          <w:tcPr>
            <w:tcW w:w="186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商务</w:t>
            </w:r>
          </w:p>
        </w:tc>
        <w:tc>
          <w:tcPr>
            <w:tcW w:w="186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财政</w:t>
            </w:r>
          </w:p>
        </w:tc>
        <w:tc>
          <w:tcPr>
            <w:tcW w:w="186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税务</w:t>
            </w:r>
          </w:p>
        </w:tc>
        <w:tc>
          <w:tcPr>
            <w:tcW w:w="18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tc>
        <w:tc>
          <w:tcPr>
            <w:tcW w:w="186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年   月   日</w:t>
            </w:r>
          </w:p>
        </w:tc>
        <w:tc>
          <w:tcPr>
            <w:tcW w:w="186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年   月   日</w:t>
            </w:r>
          </w:p>
        </w:tc>
        <w:tc>
          <w:tcPr>
            <w:tcW w:w="186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年   月   日</w:t>
            </w:r>
          </w:p>
        </w:tc>
        <w:tc>
          <w:tcPr>
            <w:tcW w:w="18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w w:val="100"/>
                <w:sz w:val="21"/>
                <w:szCs w:val="21"/>
                <w:vertAlign w:val="baseline"/>
                <w:lang w:val="en-US" w:eastAsia="zh-CN"/>
              </w:rPr>
            </w:pPr>
            <w:r>
              <w:rPr>
                <w:rFonts w:hint="eastAsia" w:ascii="宋体" w:hAnsi="宋体" w:eastAsia="宋体" w:cs="宋体"/>
                <w:w w:val="100"/>
                <w:sz w:val="21"/>
                <w:szCs w:val="21"/>
                <w:vertAlign w:val="baseline"/>
                <w:lang w:val="en-US" w:eastAsia="zh-CN"/>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w w:val="100"/>
          <w:sz w:val="21"/>
          <w:szCs w:val="21"/>
          <w:lang w:val="en-US" w:eastAsia="zh-CN"/>
        </w:rPr>
      </w:pPr>
      <w:r>
        <w:rPr>
          <w:rFonts w:hint="eastAsia" w:ascii="仿宋_GB2312" w:hAnsi="仿宋_GB2312" w:eastAsia="仿宋_GB2312" w:cs="仿宋_GB2312"/>
          <w:w w:val="100"/>
          <w:sz w:val="21"/>
          <w:szCs w:val="21"/>
          <w:lang w:val="en-US" w:eastAsia="zh-CN"/>
        </w:rPr>
        <w:t xml:space="preserve">    </w:t>
      </w:r>
      <w:r>
        <w:rPr>
          <w:rFonts w:hint="eastAsia" w:ascii="宋体" w:hAnsi="宋体" w:eastAsia="宋体" w:cs="宋体"/>
          <w:w w:val="100"/>
          <w:sz w:val="21"/>
          <w:szCs w:val="21"/>
          <w:lang w:val="en-US" w:eastAsia="zh-CN"/>
        </w:rPr>
        <w:t>注：1.外资研发中心为分公司或内设部门的，研发中心名称和统一社会信用代码均填写其所在外商投资企业。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w w:val="100"/>
          <w:sz w:val="21"/>
          <w:szCs w:val="21"/>
          <w:lang w:val="en-US" w:eastAsia="zh-CN"/>
        </w:rPr>
      </w:pPr>
      <w:r>
        <w:rPr>
          <w:rFonts w:hint="eastAsia" w:ascii="宋体" w:hAnsi="宋体" w:eastAsia="宋体" w:cs="宋体"/>
          <w:w w:val="100"/>
          <w:sz w:val="21"/>
          <w:szCs w:val="21"/>
          <w:lang w:val="en-US" w:eastAsia="zh-CN"/>
        </w:rPr>
        <w:t>2.币种以表内标注为准，金额根据当年人民币汇率平均价计算。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r>
        <w:rPr>
          <w:rFonts w:hint="eastAsia" w:ascii="宋体" w:hAnsi="宋体" w:eastAsia="宋体" w:cs="宋体"/>
          <w:w w:val="100"/>
          <w:sz w:val="21"/>
          <w:szCs w:val="21"/>
          <w:lang w:val="en-US" w:eastAsia="zh-CN"/>
        </w:rPr>
        <w:t>3.已缴税金为外资研发中心采购符合条件的设备所缴纳的增值税。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宋体" w:hAnsi="宋体" w:eastAsia="宋体" w:cs="宋体"/>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w w:val="95"/>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w w:val="95"/>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lang w:val="en-US" w:eastAsia="zh-CN"/>
        </w:rPr>
      </w:pPr>
    </w:p>
    <w:tbl>
      <w:tblPr>
        <w:tblStyle w:val="4"/>
        <w:tblpPr w:leftFromText="180" w:rightFromText="180" w:vertAnchor="text" w:horzAnchor="page" w:tblpX="1470" w:tblpY="225"/>
        <w:tblOverlap w:val="never"/>
        <w:tblW w:w="0" w:type="auto"/>
        <w:tblInd w:w="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179"/>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19" w:hRule="atLeast"/>
        </w:trPr>
        <w:tc>
          <w:tcPr>
            <w:tcW w:w="9179" w:type="dxa"/>
            <w:tcBorders>
              <w:tl2br w:val="nil"/>
              <w:tr2bl w:val="nil"/>
            </w:tcBorders>
            <w:noWrap w:val="0"/>
            <w:vAlign w:val="center"/>
          </w:tcPr>
          <w:p>
            <w:pPr>
              <w:keepNext w:val="0"/>
              <w:keepLines w:val="0"/>
              <w:pageBreakBefore w:val="0"/>
              <w:widowControl w:val="0"/>
              <w:tabs>
                <w:tab w:val="left" w:pos="5980"/>
              </w:tabs>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color w:val="auto"/>
                <w:spacing w:val="0"/>
                <w:sz w:val="28"/>
                <w:szCs w:val="28"/>
                <w:lang w:val="en-US" w:eastAsia="zh-CN"/>
              </w:rPr>
            </w:pPr>
            <w:r>
              <w:rPr>
                <w:rFonts w:hint="eastAsia" w:ascii="Times New Roman" w:hAnsi="Times New Roman" w:eastAsia="仿宋_GB2312" w:cs="Times New Roman"/>
                <w:color w:val="auto"/>
                <w:spacing w:val="0"/>
                <w:sz w:val="28"/>
                <w:szCs w:val="28"/>
                <w:lang w:val="en-US" w:eastAsia="zh-CN"/>
              </w:rPr>
              <w:t>抄送：</w:t>
            </w:r>
            <w:r>
              <w:rPr>
                <w:rFonts w:hint="eastAsia" w:eastAsia="仿宋_GB2312" w:cs="Times New Roman"/>
                <w:color w:val="auto"/>
                <w:spacing w:val="0"/>
                <w:sz w:val="28"/>
                <w:szCs w:val="28"/>
                <w:lang w:val="en-US" w:eastAsia="zh-CN"/>
              </w:rPr>
              <w:t>商务部办公厅，</w:t>
            </w:r>
            <w:r>
              <w:rPr>
                <w:rFonts w:hint="eastAsia" w:ascii="Times New Roman" w:hAnsi="Times New Roman" w:eastAsia="仿宋_GB2312" w:cs="Times New Roman"/>
                <w:color w:val="auto"/>
                <w:spacing w:val="0"/>
                <w:sz w:val="28"/>
                <w:szCs w:val="28"/>
                <w:lang w:val="en-US" w:eastAsia="zh-CN"/>
              </w:rPr>
              <w:t>省政府办公厅</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19" w:hRule="atLeast"/>
        </w:trPr>
        <w:tc>
          <w:tcPr>
            <w:tcW w:w="9179" w:type="dxa"/>
            <w:tcBorders>
              <w:tl2br w:val="nil"/>
              <w:tr2bl w:val="nil"/>
            </w:tcBorders>
            <w:noWrap w:val="0"/>
            <w:vAlign w:val="center"/>
          </w:tcPr>
          <w:p>
            <w:pPr>
              <w:keepNext w:val="0"/>
              <w:keepLines w:val="0"/>
              <w:pageBreakBefore w:val="0"/>
              <w:widowControl w:val="0"/>
              <w:tabs>
                <w:tab w:val="left" w:pos="5980"/>
              </w:tabs>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color w:val="auto"/>
                <w:spacing w:val="0"/>
                <w:sz w:val="28"/>
                <w:szCs w:val="28"/>
                <w:lang w:val="en-US" w:eastAsia="zh-CN"/>
              </w:rPr>
            </w:pPr>
            <w:r>
              <w:rPr>
                <w:rFonts w:hint="default" w:ascii="Times New Roman" w:hAnsi="Times New Roman" w:eastAsia="仿宋_GB2312" w:cs="Times New Roman"/>
                <w:color w:val="auto"/>
                <w:spacing w:val="0"/>
                <w:sz w:val="28"/>
                <w:szCs w:val="28"/>
                <w:lang w:val="en-US" w:eastAsia="zh-CN"/>
              </w:rPr>
              <w:t xml:space="preserve">贵州省商务厅办公室                  </w:t>
            </w:r>
            <w:r>
              <w:rPr>
                <w:rFonts w:hint="eastAsia" w:ascii="Times New Roman" w:hAnsi="Times New Roman" w:eastAsia="仿宋_GB2312" w:cs="Times New Roman"/>
                <w:color w:val="auto"/>
                <w:spacing w:val="0"/>
                <w:sz w:val="28"/>
                <w:szCs w:val="28"/>
                <w:lang w:val="en-US" w:eastAsia="zh-CN"/>
              </w:rPr>
              <w:t xml:space="preserve">         </w:t>
            </w:r>
            <w:r>
              <w:rPr>
                <w:rFonts w:hint="default" w:ascii="Times New Roman" w:hAnsi="Times New Roman" w:eastAsia="仿宋_GB2312" w:cs="Times New Roman"/>
                <w:color w:val="auto"/>
                <w:spacing w:val="0"/>
                <w:sz w:val="28"/>
                <w:szCs w:val="28"/>
                <w:lang w:val="en-US" w:eastAsia="zh-CN"/>
              </w:rPr>
              <w:t>20</w:t>
            </w:r>
            <w:r>
              <w:rPr>
                <w:rFonts w:hint="eastAsia" w:ascii="Times New Roman" w:hAnsi="Times New Roman" w:eastAsia="仿宋_GB2312" w:cs="Times New Roman"/>
                <w:color w:val="auto"/>
                <w:spacing w:val="0"/>
                <w:sz w:val="28"/>
                <w:szCs w:val="28"/>
                <w:lang w:val="en-US" w:eastAsia="zh-CN"/>
              </w:rPr>
              <w:t>21</w:t>
            </w:r>
            <w:r>
              <w:rPr>
                <w:rFonts w:hint="default" w:ascii="Times New Roman" w:hAnsi="Times New Roman" w:eastAsia="仿宋_GB2312" w:cs="Times New Roman"/>
                <w:color w:val="auto"/>
                <w:spacing w:val="0"/>
                <w:sz w:val="28"/>
                <w:szCs w:val="28"/>
                <w:lang w:val="en-US" w:eastAsia="zh-CN"/>
              </w:rPr>
              <w:t>年</w:t>
            </w:r>
            <w:r>
              <w:rPr>
                <w:rFonts w:hint="eastAsia" w:eastAsia="仿宋_GB2312" w:cs="Times New Roman"/>
                <w:color w:val="auto"/>
                <w:spacing w:val="0"/>
                <w:sz w:val="28"/>
                <w:szCs w:val="28"/>
                <w:lang w:val="en-US" w:eastAsia="zh-CN"/>
              </w:rPr>
              <w:t>7</w:t>
            </w:r>
            <w:r>
              <w:rPr>
                <w:rFonts w:hint="default" w:ascii="Times New Roman" w:hAnsi="Times New Roman" w:eastAsia="仿宋_GB2312" w:cs="Times New Roman"/>
                <w:color w:val="auto"/>
                <w:spacing w:val="0"/>
                <w:sz w:val="28"/>
                <w:szCs w:val="28"/>
                <w:lang w:val="en-US" w:eastAsia="zh-CN"/>
              </w:rPr>
              <w:t>月</w:t>
            </w:r>
            <w:r>
              <w:rPr>
                <w:rFonts w:hint="eastAsia" w:eastAsia="仿宋_GB2312" w:cs="Times New Roman"/>
                <w:color w:val="auto"/>
                <w:spacing w:val="0"/>
                <w:sz w:val="28"/>
                <w:szCs w:val="28"/>
                <w:lang w:val="en-US" w:eastAsia="zh-CN"/>
              </w:rPr>
              <w:t>13</w:t>
            </w:r>
            <w:r>
              <w:rPr>
                <w:rFonts w:hint="default" w:ascii="Times New Roman" w:hAnsi="Times New Roman" w:eastAsia="仿宋_GB2312" w:cs="Times New Roman"/>
                <w:color w:val="auto"/>
                <w:spacing w:val="0"/>
                <w:sz w:val="28"/>
                <w:szCs w:val="28"/>
                <w:lang w:val="en-US" w:eastAsia="zh-CN"/>
              </w:rPr>
              <w:t>日印发</w:t>
            </w:r>
          </w:p>
        </w:tc>
      </w:tr>
    </w:tbl>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outlineLvl w:val="9"/>
        <w:rPr>
          <w:rFonts w:hint="eastAsia" w:ascii="Times New Roman" w:hAnsi="Times New Roman" w:eastAsia="仿宋_GB2312" w:cs="Times New Roman"/>
          <w:color w:val="auto"/>
          <w:sz w:val="32"/>
          <w:szCs w:val="32"/>
          <w:shd w:val="clear" w:color="080000" w:fill="auto"/>
          <w:lang w:val="en-US" w:eastAsia="zh-CN" w:bidi="ar-SA"/>
        </w:rPr>
      </w:pPr>
      <w:r>
        <w:rPr>
          <w:rFonts w:hint="default" w:ascii="Times New Roman" w:hAnsi="Times New Roman" w:eastAsia="仿宋_GB2312" w:cs="Times New Roman"/>
          <w:color w:val="auto"/>
          <w:sz w:val="28"/>
          <w:szCs w:val="28"/>
          <w:u w:val="none" w:color="auto"/>
          <w:lang w:val="en-US" w:eastAsia="zh-CN"/>
        </w:rPr>
        <w:t xml:space="preserve">                      </w:t>
      </w:r>
      <w:r>
        <w:rPr>
          <w:rFonts w:hint="eastAsia" w:ascii="Times New Roman" w:hAnsi="Times New Roman" w:eastAsia="仿宋_GB2312" w:cs="Times New Roman"/>
          <w:color w:val="auto"/>
          <w:sz w:val="28"/>
          <w:szCs w:val="28"/>
          <w:u w:val="none" w:color="auto"/>
          <w:lang w:val="en-US" w:eastAsia="zh-CN"/>
        </w:rPr>
        <w:t xml:space="preserve">                              </w:t>
      </w:r>
      <w:r>
        <w:rPr>
          <w:rFonts w:hint="default" w:ascii="Times New Roman" w:hAnsi="Times New Roman" w:eastAsia="仿宋_GB2312" w:cs="Times New Roman"/>
          <w:color w:val="auto"/>
          <w:sz w:val="28"/>
          <w:szCs w:val="28"/>
          <w:u w:val="none" w:color="auto"/>
        </w:rPr>
        <w:t>共印</w:t>
      </w:r>
      <w:r>
        <w:rPr>
          <w:rFonts w:hint="eastAsia" w:eastAsia="仿宋_GB2312" w:cs="Times New Roman"/>
          <w:color w:val="auto"/>
          <w:sz w:val="28"/>
          <w:szCs w:val="28"/>
          <w:u w:val="none" w:color="auto"/>
          <w:lang w:val="en-US" w:eastAsia="zh-CN"/>
        </w:rPr>
        <w:t>15</w:t>
      </w:r>
      <w:r>
        <w:rPr>
          <w:rFonts w:hint="default" w:ascii="Times New Roman" w:hAnsi="Times New Roman" w:eastAsia="仿宋_GB2312" w:cs="Times New Roman"/>
          <w:color w:val="auto"/>
          <w:sz w:val="28"/>
          <w:szCs w:val="28"/>
          <w:u w:val="none" w:color="auto"/>
        </w:rPr>
        <w:t>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default" w:ascii="宋体" w:hAnsi="宋体" w:eastAsia="宋体" w:cs="宋体"/>
          <w:w w:val="100"/>
          <w:sz w:val="21"/>
          <w:szCs w:val="21"/>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B335B"/>
    <w:rsid w:val="015F239C"/>
    <w:rsid w:val="03DA580D"/>
    <w:rsid w:val="03F5267F"/>
    <w:rsid w:val="067B335B"/>
    <w:rsid w:val="071B0D30"/>
    <w:rsid w:val="0AFB7220"/>
    <w:rsid w:val="0B487339"/>
    <w:rsid w:val="0CED3927"/>
    <w:rsid w:val="0DEC6E5E"/>
    <w:rsid w:val="0F3330F8"/>
    <w:rsid w:val="108F47E6"/>
    <w:rsid w:val="154C44DD"/>
    <w:rsid w:val="15744DF7"/>
    <w:rsid w:val="17A37A1D"/>
    <w:rsid w:val="1C1848BC"/>
    <w:rsid w:val="21AD01FE"/>
    <w:rsid w:val="267D7303"/>
    <w:rsid w:val="268148B1"/>
    <w:rsid w:val="27EF466B"/>
    <w:rsid w:val="2B2C5820"/>
    <w:rsid w:val="2B645D9F"/>
    <w:rsid w:val="2C7E2B5F"/>
    <w:rsid w:val="2EE5495D"/>
    <w:rsid w:val="2F9E08B3"/>
    <w:rsid w:val="30AD3E1E"/>
    <w:rsid w:val="325D4F7D"/>
    <w:rsid w:val="36250929"/>
    <w:rsid w:val="37210E5C"/>
    <w:rsid w:val="383F187F"/>
    <w:rsid w:val="38CB6AE7"/>
    <w:rsid w:val="396F49C7"/>
    <w:rsid w:val="3CE9188D"/>
    <w:rsid w:val="3CEC7525"/>
    <w:rsid w:val="3DCF6811"/>
    <w:rsid w:val="44C7155C"/>
    <w:rsid w:val="458162CE"/>
    <w:rsid w:val="46D4324D"/>
    <w:rsid w:val="47441F1A"/>
    <w:rsid w:val="48776094"/>
    <w:rsid w:val="4A57033D"/>
    <w:rsid w:val="4C2867EF"/>
    <w:rsid w:val="52A004E6"/>
    <w:rsid w:val="534B2CBC"/>
    <w:rsid w:val="54AD2C98"/>
    <w:rsid w:val="57301021"/>
    <w:rsid w:val="59C1296D"/>
    <w:rsid w:val="5B2C0542"/>
    <w:rsid w:val="5B3E31CE"/>
    <w:rsid w:val="5D424373"/>
    <w:rsid w:val="6024580F"/>
    <w:rsid w:val="60D15B99"/>
    <w:rsid w:val="647C271F"/>
    <w:rsid w:val="672E029F"/>
    <w:rsid w:val="678A21CC"/>
    <w:rsid w:val="6862007D"/>
    <w:rsid w:val="6BCD520E"/>
    <w:rsid w:val="7141267C"/>
    <w:rsid w:val="71AE3FDA"/>
    <w:rsid w:val="768D1E20"/>
    <w:rsid w:val="76AC7A17"/>
    <w:rsid w:val="774F20EB"/>
    <w:rsid w:val="7A447BE1"/>
    <w:rsid w:val="7B281A33"/>
    <w:rsid w:val="7B4E6269"/>
    <w:rsid w:val="7BED5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qFormat/>
    <w:uiPriority w:val="0"/>
    <w:pPr>
      <w:widowControl w:val="0"/>
      <w:shd w:val="clear" w:color="auto" w:fill="auto"/>
      <w:spacing w:line="360" w:lineRule="auto"/>
      <w:ind w:firstLine="400"/>
    </w:pPr>
    <w:rPr>
      <w:rFonts w:ascii="MingLiU" w:hAnsi="MingLiU" w:eastAsia="MingLiU" w:cs="MingLiU"/>
      <w:sz w:val="22"/>
      <w:szCs w:val="22"/>
      <w:u w:val="none"/>
      <w:shd w:val="clear" w:color="auto" w:fill="FFFFFF"/>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Company>
  <Pages>1</Pages>
  <Words>0</Words>
  <Characters>0</Characters>
  <Lines>0</Lines>
  <Paragraphs>0</Paragraphs>
  <TotalTime>18</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2021-02-24T08:00:00Z</dcterms:created>
  <dc:creator>余音已过1422413802</dc:creator>
  <cp:lastModifiedBy>余音已过1422413802</cp:lastModifiedBy>
  <cp:lastPrinted>2021-07-14T09:26:25Z</cp:lastPrinted>
  <dcterms:modified xsi:type="dcterms:W3CDTF">2021-07-14T09:41:12Z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