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附件2</w:t>
      </w: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贵州省县域商业体系建设县（市、区）评估验收指标（试行）</w:t>
      </w:r>
    </w:p>
    <w:p>
      <w:pPr>
        <w:pStyle w:val="2"/>
        <w:rPr>
          <w:rFonts w:hint="eastAsia"/>
          <w:lang w:val="en-US" w:eastAsia="zh-CN"/>
        </w:rPr>
      </w:pPr>
    </w:p>
    <w:tbl>
      <w:tblPr>
        <w:tblStyle w:val="5"/>
        <w:tblW w:w="14548" w:type="dxa"/>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2185"/>
        <w:gridCol w:w="5056"/>
        <w:gridCol w:w="4148"/>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9" w:type="dxa"/>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一级指标</w:t>
            </w:r>
          </w:p>
        </w:tc>
        <w:tc>
          <w:tcPr>
            <w:tcW w:w="2185" w:type="dxa"/>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二级指标</w:t>
            </w:r>
          </w:p>
        </w:tc>
        <w:tc>
          <w:tcPr>
            <w:tcW w:w="5056" w:type="dxa"/>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指标解释</w:t>
            </w:r>
          </w:p>
        </w:tc>
        <w:tc>
          <w:tcPr>
            <w:tcW w:w="4148" w:type="dxa"/>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评价内容</w:t>
            </w:r>
          </w:p>
        </w:tc>
        <w:tc>
          <w:tcPr>
            <w:tcW w:w="2020" w:type="dxa"/>
            <w:vAlign w:val="center"/>
          </w:tcPr>
          <w:p>
            <w:pPr>
              <w:pStyle w:val="2"/>
              <w:widowControl w:val="0"/>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restart"/>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约束性指标</w:t>
            </w:r>
          </w:p>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（35分）</w:t>
            </w:r>
          </w:p>
          <w:p>
            <w:pPr>
              <w:pStyle w:val="2"/>
              <w:widowControl w:val="0"/>
              <w:jc w:val="center"/>
              <w:rPr>
                <w:rFonts w:hint="default"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县城综合商贸服务中心（5分）</w:t>
            </w:r>
          </w:p>
        </w:tc>
        <w:tc>
          <w:tcPr>
            <w:tcW w:w="5056"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单体大型商业综合体，或以单体商超为中心，聚集多种服务的商圈，满足县域居民绝大部分消费需求。</w:t>
            </w:r>
          </w:p>
        </w:tc>
        <w:tc>
          <w:tcPr>
            <w:tcW w:w="4148"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基本型数量》1,得3分；增强型数量》1,得4分；提升型数量》1,得5分。（有多项符合条件的，取最高分，不重复记分）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乡镇商贸中心覆盖率（5分）</w:t>
            </w:r>
          </w:p>
        </w:tc>
        <w:tc>
          <w:tcPr>
            <w:tcW w:w="5056" w:type="dxa"/>
            <w:vAlign w:val="center"/>
          </w:tcPr>
          <w:p>
            <w:pPr>
              <w:pStyle w:val="2"/>
              <w:widowControl w:val="0"/>
              <w:jc w:val="left"/>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单体商超、或以单体商超为中心、聚集多种服务的商圈，或沿主要街道条状分布的农村商业街，满足居民日常购物和一般性生活服务性消费需求。</w:t>
            </w:r>
            <w:r>
              <w:rPr>
                <w:rFonts w:hint="eastAsia" w:ascii="仿宋" w:hAnsi="仿宋" w:eastAsia="仿宋" w:cs="仿宋"/>
                <w:sz w:val="15"/>
                <w:szCs w:val="15"/>
                <w:vertAlign w:val="baseline"/>
                <w:lang w:val="en-US" w:eastAsia="zh-CN"/>
              </w:rPr>
              <w:t>（达到建设标准的乡镇数量</w:t>
            </w:r>
            <w:r>
              <w:rPr>
                <w:rFonts w:hint="default" w:ascii="Arial" w:hAnsi="Arial" w:eastAsia="仿宋" w:cs="Arial"/>
                <w:sz w:val="15"/>
                <w:szCs w:val="15"/>
                <w:vertAlign w:val="baseline"/>
                <w:lang w:val="en-US" w:eastAsia="zh-CN"/>
              </w:rPr>
              <w:t>÷</w:t>
            </w:r>
            <w:r>
              <w:rPr>
                <w:rFonts w:hint="eastAsia" w:ascii="仿宋" w:hAnsi="仿宋" w:eastAsia="仿宋" w:cs="仿宋"/>
                <w:sz w:val="15"/>
                <w:szCs w:val="15"/>
                <w:vertAlign w:val="baseline"/>
                <w:lang w:val="en-US" w:eastAsia="zh-CN"/>
              </w:rPr>
              <w:t>县域行政乡镇总数</w:t>
            </w:r>
            <w:r>
              <w:rPr>
                <w:rFonts w:hint="default" w:ascii="Arial" w:hAnsi="Arial" w:eastAsia="仿宋" w:cs="Arial"/>
                <w:sz w:val="15"/>
                <w:szCs w:val="15"/>
                <w:vertAlign w:val="baseline"/>
                <w:lang w:val="en-US" w:eastAsia="zh-CN"/>
              </w:rPr>
              <w:t>×</w:t>
            </w:r>
            <w:r>
              <w:rPr>
                <w:rFonts w:hint="eastAsia" w:ascii="仿宋" w:hAnsi="仿宋" w:eastAsia="仿宋" w:cs="仿宋"/>
                <w:sz w:val="15"/>
                <w:szCs w:val="15"/>
                <w:vertAlign w:val="baseline"/>
                <w:lang w:val="en-US" w:eastAsia="zh-CN"/>
              </w:rPr>
              <w:t>100%）</w:t>
            </w:r>
          </w:p>
        </w:tc>
        <w:tc>
          <w:tcPr>
            <w:tcW w:w="4148"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基本型以上覆盖率》80%,得3分；增强型以上覆盖率》80%,,得4分；提升型以上覆盖率80%,,得5分。（有多项符合条件的，取最高分，不重复记分）</w:t>
            </w:r>
          </w:p>
        </w:tc>
        <w:tc>
          <w:tcPr>
            <w:tcW w:w="2020"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查阅资料，现场抽查不少于30%的乡镇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村级便民商店覆盖率（5分）</w:t>
            </w:r>
          </w:p>
        </w:tc>
        <w:tc>
          <w:tcPr>
            <w:tcW w:w="5056" w:type="dxa"/>
            <w:vAlign w:val="center"/>
          </w:tcPr>
          <w:p>
            <w:pPr>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农村夫妻店、小卖部等商业网点，提供日用消费品、农资、电商、金融、邮件快件代收代投等多样化服务（至少提供其中2项服务），保障农村居民就近便利消费和基本生活服务。（达到建设标准的行政村数量</w:t>
            </w:r>
            <w:r>
              <w:rPr>
                <w:rFonts w:hint="default" w:ascii="Arial" w:hAnsi="Arial" w:eastAsia="仿宋" w:cs="Arial"/>
                <w:sz w:val="15"/>
                <w:szCs w:val="15"/>
                <w:vertAlign w:val="baseline"/>
                <w:lang w:val="en-US" w:eastAsia="zh-CN"/>
              </w:rPr>
              <w:t>÷</w:t>
            </w:r>
            <w:r>
              <w:rPr>
                <w:rFonts w:hint="eastAsia" w:ascii="仿宋" w:hAnsi="仿宋" w:eastAsia="仿宋" w:cs="仿宋"/>
                <w:sz w:val="15"/>
                <w:szCs w:val="15"/>
                <w:vertAlign w:val="baseline"/>
                <w:lang w:val="en-US" w:eastAsia="zh-CN"/>
              </w:rPr>
              <w:t>县域行政村总数</w:t>
            </w:r>
            <w:r>
              <w:rPr>
                <w:rFonts w:hint="default" w:ascii="Arial" w:hAnsi="Arial" w:eastAsia="仿宋" w:cs="Arial"/>
                <w:sz w:val="15"/>
                <w:szCs w:val="15"/>
                <w:vertAlign w:val="baseline"/>
                <w:lang w:val="en-US" w:eastAsia="zh-CN"/>
              </w:rPr>
              <w:t>×</w:t>
            </w:r>
            <w:r>
              <w:rPr>
                <w:rFonts w:hint="eastAsia" w:ascii="仿宋" w:hAnsi="仿宋" w:eastAsia="仿宋" w:cs="仿宋"/>
                <w:sz w:val="15"/>
                <w:szCs w:val="15"/>
                <w:vertAlign w:val="baseline"/>
                <w:lang w:val="en-US" w:eastAsia="zh-CN"/>
              </w:rPr>
              <w:t>100%）</w:t>
            </w:r>
          </w:p>
        </w:tc>
        <w:tc>
          <w:tcPr>
            <w:tcW w:w="4148" w:type="dxa"/>
            <w:vAlign w:val="center"/>
          </w:tcPr>
          <w:p>
            <w:pPr>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基本型以上覆盖率》80%,得3分；增强型以上覆盖率》80%,得4分；提升型以上覆盖率80%,,得5分。（有多项符合条件的，取最高分，不重复记分）</w:t>
            </w:r>
          </w:p>
        </w:tc>
        <w:tc>
          <w:tcPr>
            <w:tcW w:w="2020"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查阅资料，现场抽查不少于10个行政村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县级物流配送中心（5分）</w:t>
            </w:r>
          </w:p>
        </w:tc>
        <w:tc>
          <w:tcPr>
            <w:tcW w:w="5056" w:type="dxa"/>
            <w:vAlign w:val="center"/>
          </w:tcPr>
          <w:p>
            <w:pPr>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提供物流快递件的仓储、分拣、配送等开放、非排他服务。</w:t>
            </w:r>
          </w:p>
        </w:tc>
        <w:tc>
          <w:tcPr>
            <w:tcW w:w="4148" w:type="dxa"/>
            <w:vAlign w:val="center"/>
          </w:tcPr>
          <w:p>
            <w:pPr>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基本型数量》1,得3分；增强型数量》1,得4分；提升型数量》1,得5分。（有多项符合条件的，取最高分，不重复记分）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物流快递共同配送率（5分）</w:t>
            </w:r>
          </w:p>
        </w:tc>
        <w:tc>
          <w:tcPr>
            <w:tcW w:w="5056"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县域多个物流企业通过共享物流资源，对县域同一地区的客户开展配送服务，降低物流成本、提高配送效率。（对乡镇、村物流或快件共同配送总量</w:t>
            </w:r>
            <w:r>
              <w:rPr>
                <w:rFonts w:hint="default" w:ascii="Arial" w:hAnsi="Arial" w:eastAsia="仿宋" w:cs="Arial"/>
                <w:sz w:val="15"/>
                <w:szCs w:val="15"/>
                <w:vertAlign w:val="baseline"/>
                <w:lang w:val="en-US" w:eastAsia="zh-CN"/>
              </w:rPr>
              <w:t>÷</w:t>
            </w:r>
            <w:r>
              <w:rPr>
                <w:rFonts w:hint="eastAsia" w:ascii="仿宋" w:hAnsi="仿宋" w:eastAsia="仿宋" w:cs="仿宋"/>
                <w:sz w:val="15"/>
                <w:szCs w:val="15"/>
                <w:vertAlign w:val="baseline"/>
                <w:lang w:val="en-US" w:eastAsia="zh-CN"/>
              </w:rPr>
              <w:t>乡镇、村物流或快件配送总量</w:t>
            </w:r>
            <w:r>
              <w:rPr>
                <w:rFonts w:hint="default" w:ascii="Arial" w:hAnsi="Arial" w:eastAsia="仿宋" w:cs="Arial"/>
                <w:sz w:val="15"/>
                <w:szCs w:val="15"/>
                <w:vertAlign w:val="baseline"/>
                <w:lang w:val="en-US" w:eastAsia="zh-CN"/>
              </w:rPr>
              <w:t>×</w:t>
            </w:r>
            <w:r>
              <w:rPr>
                <w:rFonts w:hint="eastAsia" w:ascii="仿宋" w:hAnsi="仿宋" w:eastAsia="仿宋" w:cs="仿宋"/>
                <w:sz w:val="15"/>
                <w:szCs w:val="15"/>
                <w:vertAlign w:val="baseline"/>
                <w:lang w:val="en-US" w:eastAsia="zh-CN"/>
              </w:rPr>
              <w:t>100%）</w:t>
            </w:r>
          </w:p>
        </w:tc>
        <w:tc>
          <w:tcPr>
            <w:tcW w:w="4148"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对乡镇、村物流或快件共同配送总量占比20%-30%以上，得3分；对乡镇、村物流或快件共同配送总量占比30%-50%，得4分；对乡镇、村物流或快件共同配送总量占比50%以上，得5分。（取最高分，不重复记分）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查阅资料，现场抽查不少于10个行政村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乡村快递通达率（5分）</w:t>
            </w:r>
          </w:p>
        </w:tc>
        <w:tc>
          <w:tcPr>
            <w:tcW w:w="5056"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乡镇有邮政、快递网点，村有寄递物流综合服务，每周配送2次以上。（寄递物流服务覆盖的乡镇和行政村数量</w:t>
            </w:r>
            <w:r>
              <w:rPr>
                <w:rFonts w:hint="default" w:ascii="Arial" w:hAnsi="Arial" w:eastAsia="仿宋" w:cs="Arial"/>
                <w:sz w:val="15"/>
                <w:szCs w:val="15"/>
                <w:vertAlign w:val="baseline"/>
                <w:lang w:val="en-US" w:eastAsia="zh-CN"/>
              </w:rPr>
              <w:t>÷</w:t>
            </w:r>
            <w:r>
              <w:rPr>
                <w:rFonts w:hint="eastAsia" w:ascii="仿宋" w:hAnsi="仿宋" w:eastAsia="仿宋" w:cs="仿宋"/>
                <w:sz w:val="15"/>
                <w:szCs w:val="15"/>
                <w:vertAlign w:val="baseline"/>
                <w:lang w:val="en-US" w:eastAsia="zh-CN"/>
              </w:rPr>
              <w:t>乡镇和行政村总数</w:t>
            </w:r>
            <w:r>
              <w:rPr>
                <w:rFonts w:hint="default" w:ascii="Arial" w:hAnsi="Arial" w:eastAsia="仿宋" w:cs="Arial"/>
                <w:sz w:val="15"/>
                <w:szCs w:val="15"/>
                <w:vertAlign w:val="baseline"/>
                <w:lang w:val="en-US" w:eastAsia="zh-CN"/>
              </w:rPr>
              <w:t>×</w:t>
            </w:r>
            <w:r>
              <w:rPr>
                <w:rFonts w:hint="eastAsia" w:ascii="仿宋" w:hAnsi="仿宋" w:eastAsia="仿宋" w:cs="仿宋"/>
                <w:sz w:val="15"/>
                <w:szCs w:val="15"/>
                <w:vertAlign w:val="baseline"/>
                <w:lang w:val="en-US" w:eastAsia="zh-CN"/>
              </w:rPr>
              <w:t>100%）</w:t>
            </w:r>
          </w:p>
        </w:tc>
        <w:tc>
          <w:tcPr>
            <w:tcW w:w="4148"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乡村快递通达率80%-90%，得3分，乡村快递通达率90%-95%，得4分，乡村快递通达率95%-100%，得5分。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查阅资料，现场抽查不少于10%的行政村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农村电子商务覆盖面（5分）</w:t>
            </w:r>
          </w:p>
        </w:tc>
        <w:tc>
          <w:tcPr>
            <w:tcW w:w="5056"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依托县级物流配送中心、农村快递物流站点，发挥已建成的县级电商公共服务中心、乡村电商服务站点功能，提升农村产品上行能力。</w:t>
            </w:r>
          </w:p>
        </w:tc>
        <w:tc>
          <w:tcPr>
            <w:tcW w:w="4148"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村级电商站点实现多站合一、一点多能、一网多用，行政村电商服务覆盖率80%-90%，得3分；行政村电商服务覆盖率90%-100%，得4分；行政村电商服务覆盖率100%，得5分。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查阅资料，现场抽查不少于10个行政村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39" w:type="dxa"/>
            <w:vMerge w:val="restart"/>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预期性指标</w:t>
            </w:r>
          </w:p>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（21分）</w:t>
            </w: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县城农产品市场公益性改造</w:t>
            </w:r>
          </w:p>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（2分）</w:t>
            </w:r>
          </w:p>
        </w:tc>
        <w:tc>
          <w:tcPr>
            <w:tcW w:w="5056"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提升主要农产品市场公益性，增强保供稳价能力。</w:t>
            </w:r>
          </w:p>
        </w:tc>
        <w:tc>
          <w:tcPr>
            <w:tcW w:w="4148"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县城公益性农产品市场》1个，得2分，否则不得分。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县级农产品集配中心（4分）</w:t>
            </w:r>
          </w:p>
        </w:tc>
        <w:tc>
          <w:tcPr>
            <w:tcW w:w="5056"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具有农产品产后商品化处理和跨区域配送功能，配备农产品清晰、加工、预冷、烘干、质检、分级、包装、冷藏的等设备，提升农产品商品化处理和错峰销售能力。</w:t>
            </w:r>
          </w:p>
        </w:tc>
        <w:tc>
          <w:tcPr>
            <w:tcW w:w="4148"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基本型数量》1个,得2分；增强型数量》1个，得3分；提升型数量》1个，得4分。（有多项符合条件的，取最高分，不重复记分）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乡镇农（集）贸市场覆盖率</w:t>
            </w:r>
          </w:p>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（4分）</w:t>
            </w:r>
          </w:p>
        </w:tc>
        <w:tc>
          <w:tcPr>
            <w:tcW w:w="5056"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满足农村居民食品、服装、日用品、农资等购物需求，以及为农民自产农产品交易提供便利，是农村居民日常消费和社交的重要场所。（达到建设标准的乡镇数量</w:t>
            </w:r>
            <w:r>
              <w:rPr>
                <w:rFonts w:hint="default" w:ascii="Arial" w:hAnsi="Arial" w:eastAsia="仿宋" w:cs="Arial"/>
                <w:sz w:val="15"/>
                <w:szCs w:val="15"/>
                <w:vertAlign w:val="baseline"/>
                <w:lang w:val="en-US" w:eastAsia="zh-CN"/>
              </w:rPr>
              <w:t>÷</w:t>
            </w:r>
            <w:r>
              <w:rPr>
                <w:rFonts w:hint="eastAsia" w:ascii="仿宋" w:hAnsi="仿宋" w:eastAsia="仿宋" w:cs="仿宋"/>
                <w:sz w:val="15"/>
                <w:szCs w:val="15"/>
                <w:vertAlign w:val="baseline"/>
                <w:lang w:val="en-US" w:eastAsia="zh-CN"/>
              </w:rPr>
              <w:t>县域行政乡镇总数</w:t>
            </w:r>
            <w:r>
              <w:rPr>
                <w:rFonts w:hint="default" w:ascii="Arial" w:hAnsi="Arial" w:eastAsia="仿宋" w:cs="Arial"/>
                <w:sz w:val="15"/>
                <w:szCs w:val="15"/>
                <w:vertAlign w:val="baseline"/>
                <w:lang w:val="en-US" w:eastAsia="zh-CN"/>
              </w:rPr>
              <w:t>×</w:t>
            </w:r>
            <w:r>
              <w:rPr>
                <w:rFonts w:hint="eastAsia" w:ascii="仿宋" w:hAnsi="仿宋" w:eastAsia="仿宋" w:cs="仿宋"/>
                <w:sz w:val="15"/>
                <w:szCs w:val="15"/>
                <w:vertAlign w:val="baseline"/>
                <w:lang w:val="en-US" w:eastAsia="zh-CN"/>
              </w:rPr>
              <w:t>100%）。</w:t>
            </w:r>
          </w:p>
        </w:tc>
        <w:tc>
          <w:tcPr>
            <w:tcW w:w="4148"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乡镇农（集）贸市场覆盖率80%-90%（不含）得2分，90%-100%（不含）得3分，100%得4分。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查阅资料，现场抽查不少于30%的乡镇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产地仓储保鲜冷链物流设施</w:t>
            </w:r>
          </w:p>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（3分）</w:t>
            </w:r>
          </w:p>
        </w:tc>
        <w:tc>
          <w:tcPr>
            <w:tcW w:w="5056"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在农产品产地建设，配备必要的称量、清洗、分级、包装等设备，具备冷藏、预冷等功能。</w:t>
            </w:r>
          </w:p>
        </w:tc>
        <w:tc>
          <w:tcPr>
            <w:tcW w:w="4148"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500亩以上坝区、或本地区主要农产品产区产地仓储保鲜冷链物流设施覆盖率80%-90%得1分，90%-100%得2分，100%得3分。</w:t>
            </w:r>
          </w:p>
        </w:tc>
        <w:tc>
          <w:tcPr>
            <w:tcW w:w="2020"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查阅资料，现场抽查不少于20%的500亩坝区，或主要农产品产区产地。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县域商贸流通龙头企业</w:t>
            </w:r>
          </w:p>
          <w:p>
            <w:pPr>
              <w:pStyle w:val="2"/>
              <w:widowControl w:val="0"/>
              <w:jc w:val="center"/>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转型升级（4分）</w:t>
            </w: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商品批发、零售、农资、生活服务等县域龙头商贸流通企业完成数字化、连锁化改造，初步建立供应链体系。</w:t>
            </w:r>
          </w:p>
        </w:tc>
        <w:tc>
          <w:tcPr>
            <w:tcW w:w="4148"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完成转型升级的商贸流通企业数量1家，得2分，数量2-3家，得3分，3家以上，得4分。</w:t>
            </w:r>
          </w:p>
        </w:tc>
        <w:tc>
          <w:tcPr>
            <w:tcW w:w="2020" w:type="dxa"/>
            <w:vAlign w:val="center"/>
          </w:tcPr>
          <w:p>
            <w:pPr>
              <w:pStyle w:val="2"/>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查阅资料，现场查看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培育农产品产业运营主体</w:t>
            </w:r>
          </w:p>
          <w:p>
            <w:pPr>
              <w:pStyle w:val="2"/>
              <w:widowControl w:val="0"/>
              <w:jc w:val="center"/>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（2分）</w:t>
            </w:r>
          </w:p>
        </w:tc>
        <w:tc>
          <w:tcPr>
            <w:tcW w:w="5056"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运营主体带动产业链上下游各类主体形成协同高效、利益共享的农产品供应链体系，建立健全利益联结机制，发展订单生产、参股分红等分配机制。</w:t>
            </w:r>
          </w:p>
        </w:tc>
        <w:tc>
          <w:tcPr>
            <w:tcW w:w="4148"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农产品产业运营主体》1个，得2分，否则不得分。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优化农村消费环境（2分）</w:t>
            </w: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建立健全农村消费环境整治长效工作机制严厉打击消费品侵权假冒行为，切实加强农村食品安全监管，以及农业生产资料市场监管。</w:t>
            </w:r>
          </w:p>
        </w:tc>
        <w:tc>
          <w:tcPr>
            <w:tcW w:w="4148" w:type="dxa"/>
            <w:vAlign w:val="center"/>
          </w:tcPr>
          <w:p>
            <w:pPr>
              <w:widowControl w:val="0"/>
              <w:jc w:val="left"/>
              <w:rPr>
                <w:rFonts w:hint="default"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建立农村消费环境整治长效工作机制，工作开展经常、成效明显的，得2分。否则不得分。</w:t>
            </w:r>
          </w:p>
        </w:tc>
        <w:tc>
          <w:tcPr>
            <w:tcW w:w="2020" w:type="dxa"/>
            <w:vAlign w:val="center"/>
          </w:tcPr>
          <w:p>
            <w:pPr>
              <w:pStyle w:val="2"/>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查阅资料，现场查看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restart"/>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资金与资产</w:t>
            </w:r>
          </w:p>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管理</w:t>
            </w:r>
          </w:p>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（11分）</w:t>
            </w:r>
          </w:p>
        </w:tc>
        <w:tc>
          <w:tcPr>
            <w:tcW w:w="2185" w:type="dxa"/>
            <w:vAlign w:val="center"/>
          </w:tcPr>
          <w:p>
            <w:pPr>
              <w:pStyle w:val="2"/>
              <w:widowControl w:val="0"/>
              <w:jc w:val="center"/>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财务管理规范（2分）</w:t>
            </w:r>
          </w:p>
        </w:tc>
        <w:tc>
          <w:tcPr>
            <w:tcW w:w="5056" w:type="dxa"/>
            <w:vAlign w:val="center"/>
          </w:tcPr>
          <w:p>
            <w:pPr>
              <w:pStyle w:val="2"/>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已具备或制定相关资金和财务内控制度（1分），</w:t>
            </w:r>
            <w:r>
              <w:rPr>
                <w:rFonts w:hint="eastAsia" w:ascii="仿宋" w:hAnsi="仿宋" w:eastAsia="仿宋" w:cs="仿宋"/>
                <w:sz w:val="15"/>
                <w:szCs w:val="15"/>
              </w:rPr>
              <w:t>项目财务核算符合财务会计制度的要求</w:t>
            </w:r>
            <w:r>
              <w:rPr>
                <w:rFonts w:hint="eastAsia" w:ascii="仿宋" w:hAnsi="仿宋" w:eastAsia="仿宋" w:cs="仿宋"/>
                <w:sz w:val="15"/>
                <w:szCs w:val="15"/>
                <w:lang w:eastAsia="zh-CN"/>
              </w:rPr>
              <w:t>。（</w:t>
            </w:r>
            <w:r>
              <w:rPr>
                <w:rFonts w:hint="eastAsia" w:ascii="仿宋" w:hAnsi="仿宋" w:eastAsia="仿宋" w:cs="仿宋"/>
                <w:sz w:val="15"/>
                <w:szCs w:val="15"/>
                <w:lang w:val="en-US" w:eastAsia="zh-CN"/>
              </w:rPr>
              <w:t>1分</w:t>
            </w:r>
            <w:r>
              <w:rPr>
                <w:rFonts w:hint="eastAsia" w:ascii="仿宋" w:hAnsi="仿宋" w:eastAsia="仿宋" w:cs="仿宋"/>
                <w:sz w:val="15"/>
                <w:szCs w:val="15"/>
                <w:lang w:eastAsia="zh-CN"/>
              </w:rPr>
              <w:t>）</w:t>
            </w:r>
          </w:p>
        </w:tc>
        <w:tc>
          <w:tcPr>
            <w:tcW w:w="4148"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lang w:eastAsia="zh-CN"/>
              </w:rPr>
              <w:t>符合相关要求的得</w:t>
            </w:r>
            <w:r>
              <w:rPr>
                <w:rFonts w:hint="eastAsia" w:ascii="仿宋" w:hAnsi="仿宋" w:eastAsia="仿宋" w:cs="仿宋"/>
                <w:sz w:val="15"/>
                <w:szCs w:val="15"/>
                <w:lang w:val="en-US" w:eastAsia="zh-CN"/>
              </w:rPr>
              <w:t>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资金使用合规（2分）</w:t>
            </w:r>
          </w:p>
        </w:tc>
        <w:tc>
          <w:tcPr>
            <w:tcW w:w="5056" w:type="dxa"/>
            <w:vAlign w:val="center"/>
          </w:tcPr>
          <w:p>
            <w:pPr>
              <w:pStyle w:val="2"/>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rPr>
              <w:t>项目财政专项资金严格执行国库资金支付制度，手续完备</w:t>
            </w:r>
            <w:r>
              <w:rPr>
                <w:rFonts w:hint="eastAsia" w:ascii="仿宋" w:hAnsi="仿宋" w:eastAsia="仿宋" w:cs="仿宋"/>
                <w:sz w:val="15"/>
                <w:szCs w:val="15"/>
                <w:lang w:eastAsia="zh-CN"/>
              </w:rPr>
              <w:t>（</w:t>
            </w:r>
            <w:r>
              <w:rPr>
                <w:rFonts w:hint="eastAsia" w:ascii="仿宋" w:hAnsi="仿宋" w:eastAsia="仿宋" w:cs="仿宋"/>
                <w:sz w:val="15"/>
                <w:szCs w:val="15"/>
                <w:lang w:val="en-US" w:eastAsia="zh-CN"/>
              </w:rPr>
              <w:t>0.5分</w:t>
            </w:r>
            <w:r>
              <w:rPr>
                <w:rFonts w:hint="eastAsia" w:ascii="仿宋" w:hAnsi="仿宋" w:eastAsia="仿宋" w:cs="仿宋"/>
                <w:sz w:val="15"/>
                <w:szCs w:val="15"/>
                <w:lang w:eastAsia="zh-CN"/>
              </w:rPr>
              <w:t>）；</w:t>
            </w:r>
            <w:r>
              <w:rPr>
                <w:rFonts w:hint="eastAsia" w:ascii="仿宋" w:hAnsi="仿宋" w:eastAsia="仿宋" w:cs="仿宋"/>
                <w:sz w:val="15"/>
                <w:szCs w:val="15"/>
              </w:rPr>
              <w:t>中央财政资金单独核算、专款专用</w:t>
            </w:r>
            <w:r>
              <w:rPr>
                <w:rFonts w:hint="eastAsia" w:ascii="仿宋" w:hAnsi="仿宋" w:eastAsia="仿宋" w:cs="仿宋"/>
                <w:sz w:val="15"/>
                <w:szCs w:val="15"/>
                <w:lang w:eastAsia="zh-CN"/>
              </w:rPr>
              <w:t>（</w:t>
            </w:r>
            <w:r>
              <w:rPr>
                <w:rFonts w:hint="eastAsia" w:ascii="仿宋" w:hAnsi="仿宋" w:eastAsia="仿宋" w:cs="仿宋"/>
                <w:sz w:val="15"/>
                <w:szCs w:val="15"/>
                <w:lang w:val="en-US" w:eastAsia="zh-CN"/>
              </w:rPr>
              <w:t>0.5分</w:t>
            </w:r>
            <w:r>
              <w:rPr>
                <w:rFonts w:hint="eastAsia" w:ascii="仿宋" w:hAnsi="仿宋" w:eastAsia="仿宋" w:cs="仿宋"/>
                <w:sz w:val="15"/>
                <w:szCs w:val="15"/>
                <w:lang w:eastAsia="zh-CN"/>
              </w:rPr>
              <w:t>）</w:t>
            </w:r>
            <w:r>
              <w:rPr>
                <w:rFonts w:hint="eastAsia" w:ascii="仿宋" w:hAnsi="仿宋" w:eastAsia="仿宋" w:cs="仿宋"/>
                <w:sz w:val="15"/>
                <w:szCs w:val="15"/>
              </w:rPr>
              <w:t>；资金管理使用审批程序规范</w:t>
            </w:r>
            <w:r>
              <w:rPr>
                <w:rFonts w:hint="eastAsia" w:ascii="仿宋" w:hAnsi="仿宋" w:eastAsia="仿宋" w:cs="仿宋"/>
                <w:sz w:val="15"/>
                <w:szCs w:val="15"/>
                <w:lang w:eastAsia="zh-CN"/>
              </w:rPr>
              <w:t>（</w:t>
            </w:r>
            <w:r>
              <w:rPr>
                <w:rFonts w:hint="eastAsia" w:ascii="仿宋" w:hAnsi="仿宋" w:eastAsia="仿宋" w:cs="仿宋"/>
                <w:sz w:val="15"/>
                <w:szCs w:val="15"/>
                <w:lang w:val="en-US" w:eastAsia="zh-CN"/>
              </w:rPr>
              <w:t>1分</w:t>
            </w:r>
            <w:r>
              <w:rPr>
                <w:rFonts w:hint="eastAsia" w:ascii="仿宋" w:hAnsi="仿宋" w:eastAsia="仿宋" w:cs="仿宋"/>
                <w:sz w:val="15"/>
                <w:szCs w:val="15"/>
                <w:lang w:eastAsia="zh-CN"/>
              </w:rPr>
              <w:t>）。</w:t>
            </w:r>
          </w:p>
        </w:tc>
        <w:tc>
          <w:tcPr>
            <w:tcW w:w="4148"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lang w:eastAsia="zh-CN"/>
              </w:rPr>
              <w:t>符合相关要求的得</w:t>
            </w:r>
            <w:r>
              <w:rPr>
                <w:rFonts w:hint="eastAsia" w:ascii="仿宋" w:hAnsi="仿宋" w:eastAsia="仿宋" w:cs="仿宋"/>
                <w:sz w:val="15"/>
                <w:szCs w:val="15"/>
                <w:lang w:val="en-US" w:eastAsia="zh-CN"/>
              </w:rPr>
              <w:t>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预算执行情况（5分）</w:t>
            </w: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加快预算执行，发挥中央资金效益。</w:t>
            </w:r>
          </w:p>
        </w:tc>
        <w:tc>
          <w:tcPr>
            <w:tcW w:w="4148" w:type="dxa"/>
            <w:vAlign w:val="center"/>
          </w:tcPr>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预算执行90%-95%（不含）（2分）；预算执行95%-100%（不含）（3分）；预算执行100%的（5分）。预算执行低于90%，不得分。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资产管理规范（2分）</w:t>
            </w: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规范国有资产管理，发挥国有资产效能。</w:t>
            </w:r>
          </w:p>
        </w:tc>
        <w:tc>
          <w:tcPr>
            <w:tcW w:w="4148"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lang w:eastAsia="zh-CN"/>
              </w:rPr>
              <w:t>对应中央资金形成的国有资产登记详实，账物相符（</w:t>
            </w:r>
            <w:r>
              <w:rPr>
                <w:rFonts w:hint="eastAsia" w:ascii="仿宋" w:hAnsi="仿宋" w:eastAsia="仿宋" w:cs="仿宋"/>
                <w:sz w:val="15"/>
                <w:szCs w:val="15"/>
                <w:lang w:val="en-US" w:eastAsia="zh-CN"/>
              </w:rPr>
              <w:t>1分</w:t>
            </w:r>
            <w:r>
              <w:rPr>
                <w:rFonts w:hint="eastAsia" w:ascii="仿宋" w:hAnsi="仿宋" w:eastAsia="仿宋" w:cs="仿宋"/>
                <w:sz w:val="15"/>
                <w:szCs w:val="15"/>
                <w:lang w:eastAsia="zh-CN"/>
              </w:rPr>
              <w:t>）；</w:t>
            </w:r>
            <w:r>
              <w:rPr>
                <w:rFonts w:hint="eastAsia" w:ascii="仿宋" w:hAnsi="仿宋" w:eastAsia="仿宋" w:cs="仿宋"/>
                <w:sz w:val="15"/>
                <w:szCs w:val="15"/>
              </w:rPr>
              <w:t>资产权属和管护主体责任</w:t>
            </w:r>
            <w:r>
              <w:rPr>
                <w:rFonts w:hint="eastAsia" w:ascii="仿宋" w:hAnsi="仿宋" w:eastAsia="仿宋" w:cs="仿宋"/>
                <w:sz w:val="15"/>
                <w:szCs w:val="15"/>
                <w:lang w:eastAsia="zh-CN"/>
              </w:rPr>
              <w:t>明确（</w:t>
            </w:r>
            <w:r>
              <w:rPr>
                <w:rFonts w:hint="eastAsia" w:ascii="仿宋" w:hAnsi="仿宋" w:eastAsia="仿宋" w:cs="仿宋"/>
                <w:sz w:val="15"/>
                <w:szCs w:val="15"/>
                <w:lang w:val="en-US" w:eastAsia="zh-CN"/>
              </w:rPr>
              <w:t>1分</w:t>
            </w:r>
            <w:r>
              <w:rPr>
                <w:rFonts w:hint="eastAsia" w:ascii="仿宋" w:hAnsi="仿宋" w:eastAsia="仿宋" w:cs="仿宋"/>
                <w:sz w:val="15"/>
                <w:szCs w:val="15"/>
                <w:lang w:eastAsia="zh-CN"/>
              </w:rPr>
              <w:t>）。</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39" w:type="dxa"/>
            <w:vMerge w:val="restart"/>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项目建设运营（13分）</w:t>
            </w:r>
          </w:p>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项目完工率（5分）</w:t>
            </w: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项目按期实施、建成投运。</w:t>
            </w:r>
          </w:p>
        </w:tc>
        <w:tc>
          <w:tcPr>
            <w:tcW w:w="4148" w:type="dxa"/>
            <w:vAlign w:val="center"/>
          </w:tcPr>
          <w:p>
            <w:pPr>
              <w:widowControl w:val="0"/>
              <w:jc w:val="left"/>
              <w:rPr>
                <w:rFonts w:hint="default"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项目全部完工的，得5分；未按期完工投运的，每有1个扣1分，扣完为止。</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项目运营良好（5分）</w:t>
            </w: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强化项目效能发挥。</w:t>
            </w:r>
          </w:p>
        </w:tc>
        <w:tc>
          <w:tcPr>
            <w:tcW w:w="4148" w:type="dxa"/>
            <w:vAlign w:val="center"/>
          </w:tcPr>
          <w:p>
            <w:pPr>
              <w:widowControl w:val="0"/>
              <w:jc w:val="left"/>
              <w:rPr>
                <w:rFonts w:hint="default"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项目运营良好，产生明显经济、社会效益，得5分；出现项目闲置的，每有1个扣1分，扣完为止。</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带动就业（3分）</w:t>
            </w: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强化项目效能发挥，促进就业增收。</w:t>
            </w:r>
          </w:p>
        </w:tc>
        <w:tc>
          <w:tcPr>
            <w:tcW w:w="4148" w:type="dxa"/>
            <w:vAlign w:val="center"/>
          </w:tcPr>
          <w:p>
            <w:pPr>
              <w:widowControl w:val="0"/>
              <w:jc w:val="left"/>
              <w:rPr>
                <w:rFonts w:hint="default"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项目累计带动就业30人-50人的（1分），50-80人的（2分），80人以上的（3分）。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restart"/>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工作成效</w:t>
            </w:r>
          </w:p>
          <w:p>
            <w:pPr>
              <w:pStyle w:val="2"/>
              <w:widowControl w:val="0"/>
              <w:jc w:val="center"/>
              <w:rPr>
                <w:rFonts w:hint="default"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（20分）</w:t>
            </w: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社消零增速（5分）</w:t>
            </w: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促进消费提升成效。</w:t>
            </w:r>
          </w:p>
        </w:tc>
        <w:tc>
          <w:tcPr>
            <w:tcW w:w="4148" w:type="dxa"/>
            <w:vAlign w:val="center"/>
          </w:tcPr>
          <w:p>
            <w:pPr>
              <w:widowControl w:val="0"/>
              <w:jc w:val="left"/>
              <w:rPr>
                <w:rFonts w:hint="default"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年度建设周期内社消零总额同比增速高于全省平均水平得5分，每低于全省平均水平1个百分点扣1分，扣完为止。</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农产品网络零售额（5分）</w:t>
            </w: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提升农村电商应用水平和农产品上行动能。</w:t>
            </w:r>
          </w:p>
        </w:tc>
        <w:tc>
          <w:tcPr>
            <w:tcW w:w="4148"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年度建设周期内</w:t>
            </w:r>
            <w:r>
              <w:rPr>
                <w:rFonts w:hint="eastAsia" w:ascii="仿宋" w:hAnsi="仿宋" w:eastAsia="仿宋" w:cs="仿宋"/>
                <w:sz w:val="15"/>
                <w:szCs w:val="15"/>
                <w:vertAlign w:val="baseline"/>
                <w:lang w:val="en-US" w:eastAsia="zh-CN"/>
              </w:rPr>
              <w:t>农产品网络零售额增速高于全省平均水平（5分）；</w:t>
            </w:r>
            <w:r>
              <w:rPr>
                <w:rFonts w:hint="eastAsia" w:ascii="仿宋" w:hAnsi="仿宋" w:eastAsia="仿宋" w:cs="仿宋"/>
                <w:snapToGrid w:val="0"/>
                <w:color w:val="000000"/>
                <w:kern w:val="0"/>
                <w:sz w:val="15"/>
                <w:szCs w:val="15"/>
                <w:vertAlign w:val="baseline"/>
                <w:lang w:val="en-US" w:eastAsia="zh-CN"/>
              </w:rPr>
              <w:t>每低于全省平均水平1个百分点扣1分，扣完为止。</w:t>
            </w:r>
          </w:p>
        </w:tc>
        <w:tc>
          <w:tcPr>
            <w:tcW w:w="2020" w:type="dxa"/>
            <w:vAlign w:val="center"/>
          </w:tcPr>
          <w:p>
            <w:pPr>
              <w:pStyle w:val="2"/>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Merge w:val="restart"/>
            <w:vAlign w:val="center"/>
          </w:tcPr>
          <w:p>
            <w:pPr>
              <w:pStyle w:val="2"/>
              <w:widowControl w:val="0"/>
              <w:jc w:val="center"/>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促进就业增收（10分）</w:t>
            </w: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农村网商（含社交、移动电商用户）数量增速。</w:t>
            </w:r>
          </w:p>
        </w:tc>
        <w:tc>
          <w:tcPr>
            <w:tcW w:w="4148" w:type="dxa"/>
            <w:vAlign w:val="center"/>
          </w:tcPr>
          <w:p>
            <w:pPr>
              <w:widowControl w:val="0"/>
              <w:jc w:val="left"/>
              <w:rPr>
                <w:rFonts w:hint="default"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年度建设周期内农村网商（含社交、移动电商用户）数量同比增速3%-5%的（2分），5%-8%的（3分），8%以上的（4分）。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Merge w:val="continue"/>
            <w:vAlign w:val="center"/>
          </w:tcPr>
          <w:p>
            <w:pPr>
              <w:pStyle w:val="2"/>
              <w:widowControl w:val="0"/>
              <w:jc w:val="center"/>
              <w:rPr>
                <w:rFonts w:hint="eastAsia" w:ascii="仿宋" w:hAnsi="仿宋" w:eastAsia="仿宋" w:cs="仿宋"/>
                <w:snapToGrid w:val="0"/>
                <w:color w:val="000000"/>
                <w:kern w:val="0"/>
                <w:sz w:val="15"/>
                <w:szCs w:val="15"/>
                <w:vertAlign w:val="baseline"/>
                <w:lang w:val="en-US" w:eastAsia="zh-CN"/>
              </w:rPr>
            </w:pP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健全产销对接机制，</w:t>
            </w:r>
            <w:r>
              <w:rPr>
                <w:rFonts w:hint="eastAsia" w:ascii="仿宋" w:hAnsi="仿宋" w:eastAsia="仿宋" w:cs="仿宋"/>
                <w:snapToGrid w:val="0"/>
                <w:color w:val="000000"/>
                <w:kern w:val="0"/>
                <w:sz w:val="15"/>
                <w:szCs w:val="15"/>
                <w:vertAlign w:val="baseline"/>
                <w:lang w:val="en-US" w:eastAsia="zh-CN"/>
              </w:rPr>
              <w:t>促进农民增收成效。</w:t>
            </w:r>
          </w:p>
        </w:tc>
        <w:tc>
          <w:tcPr>
            <w:tcW w:w="4148" w:type="dxa"/>
            <w:vAlign w:val="center"/>
          </w:tcPr>
          <w:p>
            <w:pPr>
              <w:widowControl w:val="0"/>
              <w:jc w:val="left"/>
              <w:rPr>
                <w:rFonts w:hint="default"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rPr>
              <w:t>订单农业、产销一体等紧密产销衔接模式和利益联结机制</w:t>
            </w:r>
            <w:r>
              <w:rPr>
                <w:rFonts w:hint="eastAsia" w:ascii="仿宋" w:hAnsi="仿宋" w:eastAsia="仿宋" w:cs="仿宋"/>
                <w:sz w:val="15"/>
                <w:szCs w:val="15"/>
                <w:lang w:eastAsia="zh-CN"/>
              </w:rPr>
              <w:t>健全（</w:t>
            </w:r>
            <w:r>
              <w:rPr>
                <w:rFonts w:hint="eastAsia" w:ascii="仿宋" w:hAnsi="仿宋" w:eastAsia="仿宋" w:cs="仿宋"/>
                <w:sz w:val="15"/>
                <w:szCs w:val="15"/>
                <w:lang w:val="en-US" w:eastAsia="zh-CN"/>
              </w:rPr>
              <w:t>1分</w:t>
            </w:r>
            <w:r>
              <w:rPr>
                <w:rFonts w:hint="eastAsia" w:ascii="仿宋" w:hAnsi="仿宋" w:eastAsia="仿宋" w:cs="仿宋"/>
                <w:sz w:val="15"/>
                <w:szCs w:val="15"/>
                <w:lang w:eastAsia="zh-CN"/>
              </w:rPr>
              <w:t>）；</w:t>
            </w:r>
            <w:r>
              <w:rPr>
                <w:rFonts w:hint="eastAsia" w:ascii="仿宋" w:hAnsi="仿宋" w:eastAsia="仿宋" w:cs="仿宋"/>
                <w:snapToGrid w:val="0"/>
                <w:color w:val="000000"/>
                <w:kern w:val="0"/>
                <w:sz w:val="15"/>
                <w:szCs w:val="15"/>
                <w:vertAlign w:val="baseline"/>
                <w:lang w:val="en-US" w:eastAsia="zh-CN"/>
              </w:rPr>
              <w:t>年度建设周期内</w:t>
            </w:r>
            <w:r>
              <w:rPr>
                <w:rFonts w:hint="eastAsia" w:ascii="仿宋" w:hAnsi="仿宋" w:eastAsia="仿宋" w:cs="仿宋"/>
                <w:sz w:val="15"/>
                <w:szCs w:val="15"/>
                <w:lang w:eastAsia="zh-CN"/>
              </w:rPr>
              <w:t>县域农村人均收入增速高于全省平均水平（</w:t>
            </w:r>
            <w:r>
              <w:rPr>
                <w:rFonts w:hint="eastAsia" w:ascii="仿宋" w:hAnsi="仿宋" w:eastAsia="仿宋" w:cs="仿宋"/>
                <w:sz w:val="15"/>
                <w:szCs w:val="15"/>
                <w:lang w:val="en-US" w:eastAsia="zh-CN"/>
              </w:rPr>
              <w:t>5分</w:t>
            </w:r>
            <w:r>
              <w:rPr>
                <w:rFonts w:hint="eastAsia" w:ascii="仿宋" w:hAnsi="仿宋" w:eastAsia="仿宋" w:cs="仿宋"/>
                <w:sz w:val="15"/>
                <w:szCs w:val="15"/>
                <w:lang w:eastAsia="zh-CN"/>
              </w:rPr>
              <w:t>），</w:t>
            </w:r>
            <w:r>
              <w:rPr>
                <w:rFonts w:hint="eastAsia" w:ascii="仿宋" w:hAnsi="仿宋" w:eastAsia="仿宋" w:cs="仿宋"/>
                <w:snapToGrid w:val="0"/>
                <w:color w:val="000000"/>
                <w:kern w:val="0"/>
                <w:sz w:val="15"/>
                <w:szCs w:val="15"/>
                <w:vertAlign w:val="baseline"/>
                <w:lang w:val="en-US" w:eastAsia="zh-CN"/>
              </w:rPr>
              <w:t>每低于全省平均水平1个百分点扣1分，扣完为止。</w:t>
            </w:r>
          </w:p>
        </w:tc>
        <w:tc>
          <w:tcPr>
            <w:tcW w:w="2020" w:type="dxa"/>
            <w:vAlign w:val="center"/>
          </w:tcPr>
          <w:p>
            <w:pPr>
              <w:pStyle w:val="2"/>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restart"/>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加分项</w:t>
            </w:r>
          </w:p>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（+5分）</w:t>
            </w: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典型经验（3分）</w:t>
            </w:r>
          </w:p>
        </w:tc>
        <w:tc>
          <w:tcPr>
            <w:tcW w:w="5056" w:type="dxa"/>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实事求是、因地制宜，探索适合本地实际的县域商业建设有效路径。</w:t>
            </w:r>
          </w:p>
        </w:tc>
        <w:tc>
          <w:tcPr>
            <w:tcW w:w="4148" w:type="dxa"/>
            <w:vAlign w:val="center"/>
          </w:tcPr>
          <w:p>
            <w:pPr>
              <w:widowControl w:val="0"/>
              <w:jc w:val="left"/>
              <w:rPr>
                <w:rFonts w:hint="eastAsia" w:ascii="仿宋" w:hAnsi="仿宋" w:eastAsia="仿宋" w:cs="仿宋"/>
                <w:sz w:val="15"/>
                <w:szCs w:val="15"/>
              </w:rPr>
            </w:pPr>
            <w:r>
              <w:rPr>
                <w:rFonts w:hint="eastAsia" w:ascii="仿宋" w:hAnsi="仿宋" w:eastAsia="仿宋" w:cs="仿宋"/>
                <w:snapToGrid w:val="0"/>
                <w:color w:val="000000"/>
                <w:kern w:val="0"/>
                <w:sz w:val="15"/>
                <w:szCs w:val="15"/>
                <w:vertAlign w:val="baseline"/>
                <w:lang w:val="en-US" w:eastAsia="zh-CN"/>
              </w:rPr>
              <w:t>县域商业体系建设典型做法、经验被省级推广、或推荐县域商业建设领跑县的（+1分）；经验被国家部委推广的（+2分）；被商务部认定为县域商业建设领跑县的（+3分）。</w:t>
            </w:r>
            <w:r>
              <w:rPr>
                <w:rFonts w:hint="eastAsia" w:ascii="仿宋" w:hAnsi="仿宋" w:eastAsia="仿宋" w:cs="仿宋"/>
                <w:sz w:val="15"/>
                <w:szCs w:val="15"/>
                <w:vertAlign w:val="baseline"/>
                <w:lang w:val="en-US" w:eastAsia="zh-CN"/>
              </w:rPr>
              <w:t>（有多项符合条件的，取最高分，不重复记分）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编制县域商业规划（1分）</w:t>
            </w:r>
          </w:p>
        </w:tc>
        <w:tc>
          <w:tcPr>
            <w:tcW w:w="5056" w:type="dxa"/>
            <w:vAlign w:val="center"/>
          </w:tcPr>
          <w:p>
            <w:pPr>
              <w:pStyle w:val="2"/>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深入摸底本县（市、区）县域商业体系建设情况，结合本地实际，因地制宜编制县域商业发展规划，全面细致部署本地区县域商业建设基本类型、业态、功能及建设规模。</w:t>
            </w:r>
          </w:p>
        </w:tc>
        <w:tc>
          <w:tcPr>
            <w:tcW w:w="4148" w:type="dxa"/>
            <w:vAlign w:val="center"/>
          </w:tcPr>
          <w:p>
            <w:pPr>
              <w:pStyle w:val="2"/>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编制县域商业发展专项规划，并与国土空间规划“一张图”叠加的，或纳入市级商业网点规划重要内容的（+1分）。</w:t>
            </w:r>
          </w:p>
        </w:tc>
        <w:tc>
          <w:tcPr>
            <w:tcW w:w="2020" w:type="dxa"/>
            <w:vAlign w:val="center"/>
          </w:tcPr>
          <w:p>
            <w:pPr>
              <w:pStyle w:val="2"/>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2185" w:type="dxa"/>
            <w:vAlign w:val="center"/>
          </w:tcPr>
          <w:p>
            <w:pPr>
              <w:pStyle w:val="2"/>
              <w:widowControl w:val="0"/>
              <w:jc w:val="center"/>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日常监督检查（1分）</w:t>
            </w:r>
          </w:p>
        </w:tc>
        <w:tc>
          <w:tcPr>
            <w:tcW w:w="5056" w:type="dxa"/>
            <w:vAlign w:val="center"/>
          </w:tcPr>
          <w:p>
            <w:pPr>
              <w:pStyle w:val="2"/>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引入第三方专业机构，强化资金、项目过程管理。</w:t>
            </w:r>
          </w:p>
        </w:tc>
        <w:tc>
          <w:tcPr>
            <w:tcW w:w="4148"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引入审计、监理等第三方专业机构，强化资金、项目过程管理（+1分）。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restart"/>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扣分项</w:t>
            </w:r>
          </w:p>
        </w:tc>
        <w:tc>
          <w:tcPr>
            <w:tcW w:w="11389" w:type="dxa"/>
            <w:gridSpan w:val="3"/>
            <w:vAlign w:val="center"/>
          </w:tcPr>
          <w:p>
            <w:pPr>
              <w:widowControl w:val="0"/>
              <w:jc w:val="left"/>
              <w:rPr>
                <w:rFonts w:hint="default" w:ascii="仿宋" w:hAnsi="仿宋" w:eastAsia="仿宋" w:cs="仿宋"/>
                <w:snapToGrid w:val="0"/>
                <w:color w:val="000000"/>
                <w:kern w:val="0"/>
                <w:sz w:val="15"/>
                <w:szCs w:val="15"/>
                <w:vertAlign w:val="baseline"/>
                <w:lang w:val="en-US" w:eastAsia="zh-CN"/>
              </w:rPr>
            </w:pPr>
            <w:r>
              <w:rPr>
                <w:rFonts w:hint="eastAsia" w:ascii="仿宋" w:hAnsi="仿宋" w:eastAsia="仿宋" w:cs="仿宋"/>
                <w:snapToGrid w:val="0"/>
                <w:color w:val="000000"/>
                <w:kern w:val="0"/>
                <w:sz w:val="15"/>
                <w:szCs w:val="15"/>
                <w:vertAlign w:val="baseline"/>
                <w:lang w:val="en-US" w:eastAsia="zh-CN"/>
              </w:rPr>
              <w:t>项目管理不到位，存在项目建设内容与申报内容不一致的，每有1个扣1分。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11389" w:type="dxa"/>
            <w:gridSpan w:val="3"/>
            <w:vAlign w:val="center"/>
          </w:tcPr>
          <w:p>
            <w:pPr>
              <w:widowControl w:val="0"/>
              <w:jc w:val="left"/>
              <w:rPr>
                <w:rFonts w:hint="default"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rPr>
              <w:t>与发展改革、农业农村、邮政、供销等单位及商务部农产品供应链</w:t>
            </w:r>
            <w:r>
              <w:rPr>
                <w:rFonts w:hint="eastAsia" w:ascii="仿宋" w:hAnsi="仿宋" w:eastAsia="仿宋" w:cs="仿宋"/>
                <w:sz w:val="15"/>
                <w:szCs w:val="15"/>
                <w:lang w:eastAsia="zh-CN"/>
              </w:rPr>
              <w:t>等</w:t>
            </w:r>
            <w:r>
              <w:rPr>
                <w:rFonts w:hint="eastAsia" w:ascii="仿宋" w:hAnsi="仿宋" w:eastAsia="仿宋" w:cs="仿宋"/>
                <w:sz w:val="15"/>
                <w:szCs w:val="15"/>
              </w:rPr>
              <w:t>补助资金重复支持</w:t>
            </w:r>
            <w:r>
              <w:rPr>
                <w:rFonts w:hint="eastAsia" w:ascii="仿宋" w:hAnsi="仿宋" w:eastAsia="仿宋" w:cs="仿宋"/>
                <w:sz w:val="15"/>
                <w:szCs w:val="15"/>
                <w:lang w:eastAsia="zh-CN"/>
              </w:rPr>
              <w:t>，每有</w:t>
            </w:r>
            <w:r>
              <w:rPr>
                <w:rFonts w:hint="eastAsia" w:ascii="仿宋" w:hAnsi="仿宋" w:eastAsia="仿宋" w:cs="仿宋"/>
                <w:sz w:val="15"/>
                <w:szCs w:val="15"/>
                <w:lang w:val="en-US" w:eastAsia="zh-CN"/>
              </w:rPr>
              <w:t>1个</w:t>
            </w:r>
            <w:r>
              <w:rPr>
                <w:rFonts w:hint="eastAsia" w:ascii="仿宋" w:hAnsi="仿宋" w:eastAsia="仿宋" w:cs="仿宋"/>
                <w:sz w:val="15"/>
                <w:szCs w:val="15"/>
                <w:lang w:eastAsia="zh-CN"/>
              </w:rPr>
              <w:t>扣</w:t>
            </w:r>
            <w:r>
              <w:rPr>
                <w:rFonts w:hint="eastAsia" w:ascii="仿宋" w:hAnsi="仿宋" w:eastAsia="仿宋" w:cs="仿宋"/>
                <w:sz w:val="15"/>
                <w:szCs w:val="15"/>
                <w:lang w:val="en-US" w:eastAsia="zh-CN"/>
              </w:rPr>
              <w:t>5分。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11389" w:type="dxa"/>
            <w:gridSpan w:val="3"/>
            <w:vAlign w:val="center"/>
          </w:tcPr>
          <w:p>
            <w:pPr>
              <w:widowControl w:val="0"/>
              <w:jc w:val="left"/>
              <w:rPr>
                <w:rFonts w:hint="default"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用于支持</w:t>
            </w:r>
            <w:r>
              <w:rPr>
                <w:rFonts w:hint="eastAsia" w:ascii="仿宋" w:hAnsi="仿宋" w:eastAsia="仿宋" w:cs="仿宋"/>
                <w:sz w:val="15"/>
                <w:szCs w:val="15"/>
              </w:rPr>
              <w:t>具有商业地产开发性质项目</w:t>
            </w:r>
            <w:r>
              <w:rPr>
                <w:rFonts w:hint="eastAsia" w:ascii="仿宋" w:hAnsi="仿宋" w:eastAsia="仿宋" w:cs="仿宋"/>
                <w:sz w:val="15"/>
                <w:szCs w:val="15"/>
                <w:lang w:eastAsia="zh-CN"/>
              </w:rPr>
              <w:t>，</w:t>
            </w:r>
            <w:r>
              <w:rPr>
                <w:rFonts w:hint="eastAsia" w:ascii="仿宋" w:hAnsi="仿宋" w:eastAsia="仿宋" w:cs="仿宋"/>
                <w:sz w:val="15"/>
                <w:szCs w:val="15"/>
              </w:rPr>
              <w:t>补助房地产开发及物业管理类企业</w:t>
            </w:r>
            <w:r>
              <w:rPr>
                <w:rFonts w:hint="eastAsia" w:ascii="仿宋" w:hAnsi="仿宋" w:eastAsia="仿宋" w:cs="仿宋"/>
                <w:sz w:val="15"/>
                <w:szCs w:val="15"/>
                <w:lang w:eastAsia="zh-CN"/>
              </w:rPr>
              <w:t>的，每有</w:t>
            </w:r>
            <w:r>
              <w:rPr>
                <w:rFonts w:hint="eastAsia" w:ascii="仿宋" w:hAnsi="仿宋" w:eastAsia="仿宋" w:cs="仿宋"/>
                <w:sz w:val="15"/>
                <w:szCs w:val="15"/>
                <w:lang w:val="en-US" w:eastAsia="zh-CN"/>
              </w:rPr>
              <w:t>1个</w:t>
            </w:r>
            <w:r>
              <w:rPr>
                <w:rFonts w:hint="eastAsia" w:ascii="仿宋" w:hAnsi="仿宋" w:eastAsia="仿宋" w:cs="仿宋"/>
                <w:sz w:val="15"/>
                <w:szCs w:val="15"/>
                <w:lang w:eastAsia="zh-CN"/>
              </w:rPr>
              <w:t>扣</w:t>
            </w:r>
            <w:r>
              <w:rPr>
                <w:rFonts w:hint="eastAsia" w:ascii="仿宋" w:hAnsi="仿宋" w:eastAsia="仿宋" w:cs="仿宋"/>
                <w:sz w:val="15"/>
                <w:szCs w:val="15"/>
                <w:lang w:val="en-US" w:eastAsia="zh-CN"/>
              </w:rPr>
              <w:t>5分。</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restart"/>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r>
              <w:rPr>
                <w:rFonts w:hint="eastAsia" w:ascii="方正楷体_GBK" w:hAnsi="方正楷体_GBK" w:eastAsia="方正楷体_GBK" w:cs="方正楷体_GBK"/>
                <w:b/>
                <w:bCs/>
                <w:sz w:val="15"/>
                <w:szCs w:val="15"/>
                <w:vertAlign w:val="baseline"/>
                <w:lang w:val="en-US" w:eastAsia="zh-CN"/>
              </w:rPr>
              <w:t>否决项</w:t>
            </w:r>
          </w:p>
        </w:tc>
        <w:tc>
          <w:tcPr>
            <w:tcW w:w="11389" w:type="dxa"/>
            <w:gridSpan w:val="3"/>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在审计、稽查及其他相关检查中发现项目质量、资金管理（挪用、套取、骗补）等方面存在重大问题。</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11389" w:type="dxa"/>
            <w:gridSpan w:val="3"/>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项目发生重大安全生产事故或质量事故，或者造成重大经济损失和社会不良影响。</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11389" w:type="dxa"/>
            <w:gridSpan w:val="3"/>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擅自变更实施方案，调整资金支持项目。</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9" w:type="dxa"/>
            <w:vMerge w:val="continue"/>
            <w:vAlign w:val="center"/>
          </w:tcPr>
          <w:p>
            <w:pPr>
              <w:pStyle w:val="2"/>
              <w:widowControl w:val="0"/>
              <w:jc w:val="center"/>
              <w:rPr>
                <w:rFonts w:hint="eastAsia" w:ascii="方正楷体_GBK" w:hAnsi="方正楷体_GBK" w:eastAsia="方正楷体_GBK" w:cs="方正楷体_GBK"/>
                <w:b/>
                <w:bCs/>
                <w:sz w:val="15"/>
                <w:szCs w:val="15"/>
                <w:vertAlign w:val="baseline"/>
                <w:lang w:val="en-US" w:eastAsia="zh-CN"/>
              </w:rPr>
            </w:pPr>
          </w:p>
        </w:tc>
        <w:tc>
          <w:tcPr>
            <w:tcW w:w="11389" w:type="dxa"/>
            <w:gridSpan w:val="3"/>
            <w:vAlign w:val="center"/>
          </w:tcPr>
          <w:p>
            <w:pPr>
              <w:widowControl w:val="0"/>
              <w:jc w:val="left"/>
              <w:rPr>
                <w:rFonts w:hint="eastAsia" w:ascii="仿宋" w:hAnsi="仿宋" w:eastAsia="仿宋" w:cs="仿宋"/>
                <w:snapToGrid w:val="0"/>
                <w:color w:val="000000"/>
                <w:kern w:val="0"/>
                <w:sz w:val="15"/>
                <w:szCs w:val="15"/>
                <w:vertAlign w:val="baseline"/>
                <w:lang w:val="en-US" w:eastAsia="zh-CN"/>
              </w:rPr>
            </w:pPr>
            <w:r>
              <w:rPr>
                <w:rFonts w:hint="eastAsia" w:ascii="仿宋" w:hAnsi="仿宋" w:eastAsia="仿宋" w:cs="仿宋"/>
                <w:sz w:val="15"/>
                <w:szCs w:val="15"/>
                <w:vertAlign w:val="baseline"/>
                <w:lang w:val="en-US" w:eastAsia="zh-CN"/>
              </w:rPr>
              <w:t>弄虚作假，提供虚假材料。</w:t>
            </w:r>
          </w:p>
        </w:tc>
        <w:tc>
          <w:tcPr>
            <w:tcW w:w="2020" w:type="dxa"/>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查阅资料，现场核实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8" w:type="dxa"/>
            <w:gridSpan w:val="5"/>
            <w:vAlign w:val="center"/>
          </w:tcPr>
          <w:p>
            <w:pPr>
              <w:pStyle w:val="2"/>
              <w:widowControl w:val="0"/>
              <w:jc w:val="left"/>
              <w:rPr>
                <w:rFonts w:hint="eastAsia" w:ascii="仿宋" w:hAnsi="仿宋" w:eastAsia="仿宋" w:cs="仿宋"/>
                <w:sz w:val="15"/>
                <w:szCs w:val="15"/>
                <w:vertAlign w:val="baseline"/>
                <w:lang w:val="en-US" w:eastAsia="zh-CN"/>
              </w:rPr>
            </w:pPr>
            <w:r>
              <w:rPr>
                <w:rFonts w:hint="eastAsia" w:ascii="仿宋" w:hAnsi="仿宋" w:eastAsia="仿宋" w:cs="仿宋"/>
                <w:b/>
                <w:bCs/>
                <w:sz w:val="15"/>
                <w:szCs w:val="15"/>
                <w:vertAlign w:val="baseline"/>
                <w:lang w:val="en-US" w:eastAsia="zh-CN"/>
              </w:rPr>
              <w:t>说明：</w:t>
            </w:r>
            <w:r>
              <w:rPr>
                <w:rFonts w:hint="eastAsia" w:ascii="仿宋" w:hAnsi="仿宋" w:eastAsia="仿宋" w:cs="仿宋"/>
                <w:sz w:val="15"/>
                <w:szCs w:val="15"/>
                <w:vertAlign w:val="baseline"/>
                <w:lang w:val="en-US" w:eastAsia="zh-CN"/>
              </w:rPr>
              <w:t>1.根据各县（市、区）申报类型，基本型县、增强型县、提升型县得分标准为</w:t>
            </w:r>
            <w:r>
              <w:rPr>
                <w:rFonts w:hint="eastAsia" w:ascii="仿宋" w:hAnsi="仿宋" w:eastAsia="仿宋" w:cs="仿宋"/>
                <w:b/>
                <w:bCs/>
                <w:sz w:val="15"/>
                <w:szCs w:val="15"/>
                <w:vertAlign w:val="baseline"/>
                <w:lang w:val="en-US" w:eastAsia="zh-CN"/>
              </w:rPr>
              <w:t>70分以上、80分以上、90分以上</w:t>
            </w:r>
            <w:r>
              <w:rPr>
                <w:rFonts w:hint="eastAsia" w:ascii="仿宋" w:hAnsi="仿宋" w:eastAsia="仿宋" w:cs="仿宋"/>
                <w:sz w:val="15"/>
                <w:szCs w:val="15"/>
                <w:vertAlign w:val="baseline"/>
                <w:lang w:val="en-US" w:eastAsia="zh-CN"/>
              </w:rPr>
              <w:t>，否则为未达标准型县。</w:t>
            </w:r>
          </w:p>
          <w:p>
            <w:pPr>
              <w:pStyle w:val="2"/>
              <w:widowControl w:val="0"/>
              <w:jc w:val="left"/>
              <w:rPr>
                <w:rFonts w:hint="default" w:ascii="仿宋" w:hAnsi="仿宋" w:eastAsia="仿宋" w:cs="仿宋"/>
                <w:sz w:val="15"/>
                <w:szCs w:val="15"/>
                <w:vertAlign w:val="baseline"/>
                <w:lang w:val="en-US" w:eastAsia="zh-CN"/>
              </w:rPr>
            </w:pPr>
            <w:r>
              <w:rPr>
                <w:rFonts w:hint="eastAsia" w:ascii="仿宋" w:hAnsi="仿宋" w:eastAsia="仿宋" w:cs="仿宋"/>
                <w:sz w:val="15"/>
                <w:szCs w:val="15"/>
                <w:vertAlign w:val="baseline"/>
                <w:lang w:val="en-US" w:eastAsia="zh-CN"/>
              </w:rPr>
              <w:t xml:space="preserve">      2.中央资金执行进度低于90%的县（市、区）视情整改，直至收回剩余资金。</w:t>
            </w:r>
          </w:p>
        </w:tc>
      </w:tr>
    </w:tbl>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小标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姚体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DE671E"/>
    <w:rsid w:val="088FFD99"/>
    <w:rsid w:val="28EFFD5D"/>
    <w:rsid w:val="33DB6FD3"/>
    <w:rsid w:val="397F155B"/>
    <w:rsid w:val="3FED3FCB"/>
    <w:rsid w:val="5C7F4075"/>
    <w:rsid w:val="5FDF53F7"/>
    <w:rsid w:val="677D9A15"/>
    <w:rsid w:val="6D6F2240"/>
    <w:rsid w:val="71959AE9"/>
    <w:rsid w:val="73DFE7E6"/>
    <w:rsid w:val="7B636400"/>
    <w:rsid w:val="7D9B1490"/>
    <w:rsid w:val="7FCBA73E"/>
    <w:rsid w:val="7FD79343"/>
    <w:rsid w:val="9DFFBFFA"/>
    <w:rsid w:val="ABFB306F"/>
    <w:rsid w:val="DEDE671E"/>
    <w:rsid w:val="DFF6DD58"/>
    <w:rsid w:val="FEDFB37B"/>
    <w:rsid w:val="FEF7C16C"/>
    <w:rsid w:val="FEFD16DF"/>
    <w:rsid w:val="FFA94D19"/>
    <w:rsid w:val="FFDF5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semiHidden/>
    <w:unhideWhenUsed/>
    <w:qFormat/>
    <w:uiPriority w:val="0"/>
    <w:pPr>
      <w:keepNext/>
      <w:keepLines/>
      <w:spacing w:beforeLines="0" w:beforeAutospacing="0" w:afterLines="0" w:afterAutospacing="0" w:line="560" w:lineRule="exact"/>
      <w:ind w:leftChars="0"/>
      <w:jc w:val="left"/>
      <w:outlineLvl w:val="2"/>
    </w:pPr>
    <w:rPr>
      <w:rFonts w:eastAsia="方正黑体_GBK" w:asciiTheme="minorAscii" w:hAnsiTheme="minorAscii"/>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2023-05-24T10:41:00Z</dcterms:created>
  <dc:creator>ysgz</dc:creator>
  <cp:lastModifiedBy>ysgz</cp:lastModifiedBy>
  <cp:lastPrinted>2023-10-13T10:08:03Z</cp:lastPrinted>
  <dcterms:modified xsi:type="dcterms:W3CDTF">2023-10-13T10:18:16Z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