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黑体" w:hAnsi="黑体" w:eastAsia="黑体" w:cs="黑体"/>
          <w:color w:val="000000"/>
          <w:spacing w:val="0"/>
          <w:kern w:val="0"/>
          <w:sz w:val="32"/>
          <w:szCs w:val="32"/>
          <w:lang w:val="en-US" w:eastAsia="zh-CN" w:bidi="ar-SA"/>
        </w:rPr>
      </w:pPr>
      <w:r>
        <w:rPr>
          <w:rFonts w:hint="eastAsia" w:ascii="黑体" w:hAnsi="黑体" w:eastAsia="黑体" w:cs="黑体"/>
          <w:color w:val="000000"/>
          <w:spacing w:val="0"/>
          <w:kern w:val="0"/>
          <w:sz w:val="32"/>
          <w:szCs w:val="32"/>
          <w:lang w:val="en-US" w:eastAsia="zh-CN" w:bidi="ar-SA"/>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ascii="Times New Roman" w:hAnsi="Times New Roman" w:eastAsia="方正小标宋简体" w:cs="Times New Roman"/>
          <w:color w:val="000000"/>
          <w:spacing w:val="0"/>
          <w:kern w:val="0"/>
          <w:sz w:val="44"/>
          <w:szCs w:val="44"/>
          <w:lang w:val="en-US" w:eastAsia="zh-CN" w:bidi="ar-SA"/>
        </w:rPr>
      </w:pPr>
      <w:r>
        <w:rPr>
          <w:rFonts w:ascii="Times New Roman" w:hAnsi="Times New Roman" w:eastAsia="方正小标宋简体" w:cs="Times New Roman"/>
          <w:color w:val="000000"/>
          <w:spacing w:val="0"/>
          <w:kern w:val="0"/>
          <w:sz w:val="44"/>
          <w:szCs w:val="44"/>
          <w:lang w:val="en-US" w:eastAsia="zh-CN" w:bidi="ar-SA"/>
        </w:rPr>
        <w:t>省商务厅权责清单目录（202</w:t>
      </w:r>
      <w:r>
        <w:rPr>
          <w:rFonts w:hint="eastAsia" w:ascii="Times New Roman" w:hAnsi="Times New Roman" w:eastAsia="方正小标宋简体" w:cs="Times New Roman"/>
          <w:color w:val="000000"/>
          <w:spacing w:val="0"/>
          <w:kern w:val="0"/>
          <w:sz w:val="44"/>
          <w:szCs w:val="44"/>
          <w:lang w:val="en-US" w:eastAsia="zh-CN" w:bidi="ar-SA"/>
        </w:rPr>
        <w:t>2</w:t>
      </w:r>
      <w:r>
        <w:rPr>
          <w:rFonts w:ascii="Times New Roman" w:hAnsi="Times New Roman" w:eastAsia="方正小标宋简体" w:cs="Times New Roman"/>
          <w:color w:val="000000"/>
          <w:spacing w:val="0"/>
          <w:kern w:val="0"/>
          <w:sz w:val="44"/>
          <w:szCs w:val="44"/>
          <w:lang w:val="en-US" w:eastAsia="zh-CN" w:bidi="ar-SA"/>
        </w:rPr>
        <w:t>年版）</w:t>
      </w:r>
    </w:p>
    <w:tbl>
      <w:tblPr>
        <w:tblStyle w:val="8"/>
        <w:tblW w:w="157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99"/>
        <w:gridCol w:w="848"/>
        <w:gridCol w:w="1246"/>
        <w:gridCol w:w="2389"/>
        <w:gridCol w:w="5532"/>
        <w:gridCol w:w="2337"/>
        <w:gridCol w:w="808"/>
        <w:gridCol w:w="1007"/>
        <w:gridCol w:w="8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23" w:hRule="atLeast"/>
          <w:tblHeader/>
          <w:jc w:val="center"/>
        </w:trPr>
        <w:tc>
          <w:tcPr>
            <w:tcW w:w="699"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序号</w:t>
            </w:r>
          </w:p>
        </w:tc>
        <w:tc>
          <w:tcPr>
            <w:tcW w:w="848"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权力</w:t>
            </w:r>
          </w:p>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类型</w:t>
            </w:r>
          </w:p>
        </w:tc>
        <w:tc>
          <w:tcPr>
            <w:tcW w:w="1246"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权力名称</w:t>
            </w:r>
          </w:p>
        </w:tc>
        <w:tc>
          <w:tcPr>
            <w:tcW w:w="2389"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权力依据</w:t>
            </w:r>
          </w:p>
        </w:tc>
        <w:tc>
          <w:tcPr>
            <w:tcW w:w="5532"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责任事项</w:t>
            </w:r>
          </w:p>
        </w:tc>
        <w:tc>
          <w:tcPr>
            <w:tcW w:w="2337"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责任事项依据</w:t>
            </w:r>
          </w:p>
        </w:tc>
        <w:tc>
          <w:tcPr>
            <w:tcW w:w="808"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责任</w:t>
            </w:r>
          </w:p>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处室</w:t>
            </w:r>
          </w:p>
        </w:tc>
        <w:tc>
          <w:tcPr>
            <w:tcW w:w="1007"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追责对象范围</w:t>
            </w:r>
          </w:p>
        </w:tc>
        <w:tc>
          <w:tcPr>
            <w:tcW w:w="862" w:type="dxa"/>
            <w:noWrap/>
            <w:vAlign w:val="center"/>
          </w:tcPr>
          <w:p>
            <w:pPr>
              <w:widowControl/>
              <w:spacing w:before="0" w:beforeAutospacing="0" w:after="0" w:afterAutospacing="0"/>
              <w:ind w:left="0" w:right="0"/>
              <w:jc w:val="center"/>
              <w:rPr>
                <w:rFonts w:hint="eastAsia" w:ascii="黑体" w:eastAsia="黑体" w:cs="宋体"/>
                <w:b w:val="0"/>
                <w:bCs w:val="0"/>
                <w:color w:val="auto"/>
                <w:kern w:val="0"/>
                <w:sz w:val="24"/>
                <w:lang w:val="en-US" w:eastAsia="zh-CN"/>
              </w:rPr>
            </w:pPr>
            <w:r>
              <w:rPr>
                <w:rFonts w:hint="eastAsia" w:ascii="黑体" w:eastAsia="黑体" w:cs="宋体"/>
                <w:b w:val="0"/>
                <w:bCs w:val="0"/>
                <w:color w:val="auto"/>
                <w:kern w:val="0"/>
                <w:sz w:val="24"/>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006"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行政许可</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报废机动车回收资质认定</w:t>
            </w:r>
          </w:p>
        </w:tc>
        <w:tc>
          <w:tcPr>
            <w:tcW w:w="2389" w:type="dxa"/>
            <w:noWrap/>
            <w:vAlign w:val="center"/>
          </w:tcPr>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《报废机动车回收管理办法》（国务院令第715号）第5、7条</w:t>
            </w:r>
          </w:p>
        </w:tc>
        <w:tc>
          <w:tcPr>
            <w:tcW w:w="5532"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rPr>
              <w:t>1.受理责任：公示法定应当提交的材料；一次性告知补正材料；依法受理或不予受理申请（不予受理应当告知理由）。</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2.审查责任：对申请人提交的申请材料进行审查，提出审查意见。</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3.决定责任：在规定期限内作出许可或不予许可的书面决定；不予许可应告知理由，并告知相对人申请复议或提起行政诉讼的权利。</w:t>
            </w:r>
            <w:bookmarkStart w:id="0" w:name="_GoBack"/>
            <w:bookmarkEnd w:id="0"/>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4.送达责任：在规定期限内向申请人送达行政许可证件；建立信息档案；公开有关信息。</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5.监管责任：加强监管，防止弄虚作假。</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6.法律法规规章文件规定应履行的其他责任。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《行政许可法》第30、32、34、37、38、39、40、42、44、61条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《报废机动车回收管理办法》（国务院令第715号）第6条。</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运行处</w:t>
            </w:r>
          </w:p>
        </w:tc>
        <w:tc>
          <w:tcPr>
            <w:tcW w:w="1007"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 w:hAnsi="仿宋" w:eastAsia="仿宋" w:cs="仿宋"/>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行政许可</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从事拍卖业务许可</w:t>
            </w:r>
          </w:p>
        </w:tc>
        <w:tc>
          <w:tcPr>
            <w:tcW w:w="2389" w:type="dxa"/>
            <w:noWrap/>
            <w:vAlign w:val="center"/>
          </w:tcPr>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《中华人民共和国拍卖法》（2015年修正）第11条</w:t>
            </w:r>
          </w:p>
        </w:tc>
        <w:tc>
          <w:tcPr>
            <w:tcW w:w="5532" w:type="dxa"/>
            <w:noWrap/>
            <w:vAlign w:val="center"/>
          </w:tcPr>
          <w:p>
            <w:pPr>
              <w:widowControl/>
              <w:numPr>
                <w:ilvl w:val="0"/>
                <w:numId w:val="0"/>
              </w:numPr>
              <w:wordWrap/>
              <w:adjustRightInd/>
              <w:snapToGrid/>
              <w:spacing w:before="0" w:beforeAutospacing="0" w:after="0" w:afterAutospacing="0" w:line="240" w:lineRule="exact"/>
              <w:ind w:right="0" w:rightChars="0"/>
              <w:jc w:val="both"/>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1.受理责任：公示法定应当提交的材料一次性告知补正材料；依法受理或不予受理申请（不予受理应当告知理由）。</w:t>
            </w:r>
          </w:p>
          <w:p>
            <w:pPr>
              <w:pStyle w:val="2"/>
              <w:numPr>
                <w:ilvl w:val="0"/>
                <w:numId w:val="0"/>
              </w:numPr>
              <w:ind w:left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2.审查责任对申请人提交的申请材料和现场进行审查，提出审查意见。</w:t>
            </w:r>
          </w:p>
          <w:p>
            <w:pPr>
              <w:numPr>
                <w:ilvl w:val="0"/>
                <w:numId w:val="0"/>
              </w:numPr>
              <w:ind w:left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3.决定责任：在规定期限内作出认定或不予认定的书面决定；不予认定应告知理由，并告知相对人申请复议或提起行政诉讼的权利。</w:t>
            </w:r>
          </w:p>
          <w:p>
            <w:pPr>
              <w:pStyle w:val="2"/>
              <w:numPr>
                <w:ilvl w:val="0"/>
                <w:numId w:val="0"/>
              </w:numPr>
              <w:ind w:left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4.送达责任：在规定期限内向申请人送达许可证书，建立信息档案；公开有关信息。</w:t>
            </w:r>
          </w:p>
          <w:p>
            <w:pPr>
              <w:numPr>
                <w:ilvl w:val="0"/>
                <w:numId w:val="0"/>
              </w:numPr>
              <w:ind w:left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5.事后监管责任：指导和监督企业依法依规开展业务工作。</w:t>
            </w:r>
          </w:p>
          <w:p>
            <w:pPr>
              <w:pStyle w:val="2"/>
              <w:ind w:left="0" w:leftChars="0" w:firstLine="0" w:firstLine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6.法律法规规章文件规定应履行的其他责任。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《行政许可法》第30、32、34、37、38、39、40、42、44、61条；</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《中华人民共和国拍卖法》（2015年修正）第11条；</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《拍卖管理办法》（2004年12月2日商务部令第24号，商务部令2015年第2号修订）第13条。</w:t>
            </w: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 w:hAnsi="仿宋" w:eastAsia="仿宋" w:cs="仿宋"/>
                <w:b w:val="0"/>
                <w:bCs w:val="0"/>
                <w:color w:val="auto"/>
                <w:kern w:val="0"/>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由设区的</w:t>
            </w:r>
          </w:p>
          <w:p>
            <w:pPr>
              <w:widowControl/>
              <w:wordWrap/>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市级商务部门受理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193"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行政许可</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限制进出口货物进出口许可</w:t>
            </w:r>
          </w:p>
        </w:tc>
        <w:tc>
          <w:tcPr>
            <w:tcW w:w="2389" w:type="dxa"/>
            <w:noWrap/>
            <w:vAlign w:val="center"/>
          </w:tcPr>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《中华人民共和国对外贸易法》第16、18、19条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《中华人民共和国货物进出口管理条例》第10、11、35、36条</w:t>
            </w:r>
          </w:p>
        </w:tc>
        <w:tc>
          <w:tcPr>
            <w:tcW w:w="5532" w:type="dxa"/>
            <w:noWrap/>
            <w:vAlign w:val="center"/>
          </w:tcPr>
          <w:p>
            <w:pPr>
              <w:pStyle w:val="2"/>
              <w:tabs>
                <w:tab w:val="left" w:pos="3295"/>
              </w:tabs>
              <w:ind w:left="0" w:leftChars="0" w:firstLine="0" w:firstLine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kern w:val="0"/>
                <w:sz w:val="20"/>
                <w:szCs w:val="20"/>
              </w:rPr>
              <w:t>1.受理责任：公示法定应当提交的材料；一次性告知补正材料；依法受理或不予受理申请（不予受理应当告知理由）。</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2.审查责任：对申请人提交的申请材料进行审查，提出审查意见。</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3.决定责任：在规定期限内作出许可或不予许可的书面决定；不予许可应告知理由，并告知相对人申请复议或提起行政诉讼的权利。</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4.送达责任：在规定期限内向申请人送达行政许可证件；建立信息档案；公开有关信息。</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5.监管责任：加强监管，防止弄虚作假。</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6.法律法规规章文件规定应履行的其他责任。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《行政许可法》第30、32、34、37、38、39、40、42、44、61条；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《中华人民共和国对外贸易法》第16、18、19条；</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《中华人民共和国货物进出口管理条例》第10、11、35、36条。</w:t>
            </w:r>
          </w:p>
        </w:tc>
        <w:tc>
          <w:tcPr>
            <w:tcW w:w="808" w:type="dxa"/>
            <w:noWrap/>
            <w:vAlign w:val="center"/>
          </w:tcPr>
          <w:p>
            <w:pPr>
              <w:widowControl/>
              <w:wordWrap/>
              <w:adjustRightInd/>
              <w:snapToGrid/>
              <w:spacing w:before="0" w:beforeAutospacing="0" w:after="0" w:afterAutospacing="0" w:line="240" w:lineRule="exact"/>
              <w:ind w:left="0" w:leftChars="0" w:right="0" w:rightChars="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外贸处</w:t>
            </w:r>
          </w:p>
        </w:tc>
        <w:tc>
          <w:tcPr>
            <w:tcW w:w="1007" w:type="dxa"/>
            <w:noWrap/>
            <w:vAlign w:val="center"/>
          </w:tcPr>
          <w:p>
            <w:pPr>
              <w:widowControl/>
              <w:wordWrap/>
              <w:adjustRightInd/>
              <w:snapToGrid/>
              <w:spacing w:before="0" w:beforeAutospacing="0" w:after="0" w:afterAutospacing="0" w:line="240" w:lineRule="exact"/>
              <w:ind w:left="0" w:leftChars="0" w:right="0" w:rightChars="0"/>
              <w:jc w:val="left"/>
              <w:textAlignment w:val="center"/>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受商务部委托，省级商务主管部门负责受理对17种货物的出口许可申请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11"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行政许可</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限制进出口技术进出口许可</w:t>
            </w:r>
          </w:p>
        </w:tc>
        <w:tc>
          <w:tcPr>
            <w:tcW w:w="2389" w:type="dxa"/>
            <w:noWrap/>
            <w:vAlign w:val="center"/>
          </w:tcPr>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《中华人民共和国对外贸易法》第19条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《中华人民共和国技术进出口管理条例》第6条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《国务院关于第四批取消和调整行政审批项目的决定》（国发〔2007〕33号）第6项</w:t>
            </w:r>
          </w:p>
        </w:tc>
        <w:tc>
          <w:tcPr>
            <w:tcW w:w="5532" w:type="dxa"/>
            <w:noWrap/>
            <w:vAlign w:val="center"/>
          </w:tcPr>
          <w:p>
            <w:pPr>
              <w:pStyle w:val="2"/>
              <w:tabs>
                <w:tab w:val="left" w:pos="3295"/>
              </w:tabs>
              <w:ind w:left="0" w:leftChars="0" w:firstLine="0" w:firstLine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kern w:val="0"/>
                <w:sz w:val="20"/>
                <w:szCs w:val="20"/>
              </w:rPr>
              <w:t>1.受理责任：公示法定应当提交的材料；一次性告知补正材料；依法受理或不予受理申请（不予受理应当告知理由）。</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2.审查责任：对申请人提交的申请材料进行审查，提出审查意见。</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3.决定责任：在规定期限内作出许可或不予许可的书面决定；不予许可应告知理由，并告知相对人申请复议或提起行政诉讼的权利。</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4.送达责任：在规定期限内向申请人送达行政许可证件；建立信息档案；公开有关信息。</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5.监管责任：加强监管，防止弄虚作假。</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6.法律法规规章文件规定应履行的其他责任。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《行政许可法》第30、32、34、37、38、39、40、42、44、61条；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《中华人民共和国对外贸易法》第19条；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《中华人民共和国技术进出口管理条例》第6条。</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p>
        </w:tc>
        <w:tc>
          <w:tcPr>
            <w:tcW w:w="808" w:type="dxa"/>
            <w:noWrap/>
            <w:vAlign w:val="center"/>
          </w:tcPr>
          <w:p>
            <w:pPr>
              <w:widowControl/>
              <w:wordWrap/>
              <w:adjustRightInd/>
              <w:snapToGrid/>
              <w:spacing w:before="0" w:beforeAutospacing="0" w:after="0" w:afterAutospacing="0" w:line="240" w:lineRule="exact"/>
              <w:ind w:left="0" w:leftChars="0" w:right="0" w:rightChars="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服贸处</w:t>
            </w:r>
          </w:p>
        </w:tc>
        <w:tc>
          <w:tcPr>
            <w:tcW w:w="1007" w:type="dxa"/>
            <w:noWrap/>
            <w:vAlign w:val="center"/>
          </w:tcPr>
          <w:p>
            <w:pPr>
              <w:widowControl/>
              <w:wordWrap/>
              <w:adjustRightInd/>
              <w:snapToGrid/>
              <w:spacing w:before="0" w:beforeAutospacing="0" w:after="0" w:afterAutospacing="0" w:line="240" w:lineRule="exact"/>
              <w:ind w:left="0" w:leftChars="0" w:right="0" w:rightChars="0"/>
              <w:jc w:val="left"/>
              <w:textAlignment w:val="center"/>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省商务厅会同省科技厅共同实施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99"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行政许可</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易制毒化学品进出口许可</w:t>
            </w:r>
          </w:p>
        </w:tc>
        <w:tc>
          <w:tcPr>
            <w:tcW w:w="2389" w:type="dxa"/>
            <w:noWrap/>
            <w:vAlign w:val="center"/>
          </w:tcPr>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《中华人民共和国对外贸易法》第</w:t>
            </w:r>
            <w:r>
              <w:rPr>
                <w:rFonts w:hint="eastAsia" w:ascii="仿宋_GB2312" w:hAnsi="仿宋_GB2312" w:eastAsia="仿宋_GB2312" w:cs="仿宋_GB2312"/>
                <w:color w:val="auto"/>
                <w:kern w:val="0"/>
                <w:sz w:val="20"/>
                <w:szCs w:val="20"/>
                <w:lang w:val="en-US" w:eastAsia="zh-CN"/>
              </w:rPr>
              <w:t>16</w:t>
            </w:r>
            <w:r>
              <w:rPr>
                <w:rFonts w:hint="eastAsia" w:ascii="仿宋_GB2312" w:hAnsi="仿宋_GB2312" w:eastAsia="仿宋_GB2312" w:cs="仿宋_GB2312"/>
                <w:color w:val="auto"/>
                <w:kern w:val="0"/>
                <w:sz w:val="20"/>
                <w:szCs w:val="20"/>
              </w:rPr>
              <w:t>条第一款（一）项、第</w:t>
            </w:r>
            <w:r>
              <w:rPr>
                <w:rFonts w:hint="eastAsia" w:ascii="仿宋_GB2312" w:hAnsi="仿宋_GB2312" w:eastAsia="仿宋_GB2312" w:cs="仿宋_GB2312"/>
                <w:color w:val="auto"/>
                <w:kern w:val="0"/>
                <w:sz w:val="20"/>
                <w:szCs w:val="20"/>
                <w:lang w:val="en-US" w:eastAsia="zh-CN"/>
              </w:rPr>
              <w:t>17</w:t>
            </w:r>
            <w:r>
              <w:rPr>
                <w:rFonts w:hint="eastAsia" w:ascii="仿宋_GB2312" w:hAnsi="仿宋_GB2312" w:eastAsia="仿宋_GB2312" w:cs="仿宋_GB2312"/>
                <w:color w:val="auto"/>
                <w:kern w:val="0"/>
                <w:sz w:val="20"/>
                <w:szCs w:val="20"/>
              </w:rPr>
              <w:t>条、第</w:t>
            </w:r>
            <w:r>
              <w:rPr>
                <w:rFonts w:hint="eastAsia" w:ascii="仿宋_GB2312" w:hAnsi="仿宋_GB2312" w:eastAsia="仿宋_GB2312" w:cs="仿宋_GB2312"/>
                <w:color w:val="auto"/>
                <w:kern w:val="0"/>
                <w:sz w:val="20"/>
                <w:szCs w:val="20"/>
                <w:lang w:val="en-US" w:eastAsia="zh-CN"/>
              </w:rPr>
              <w:t>19</w:t>
            </w:r>
            <w:r>
              <w:rPr>
                <w:rFonts w:hint="eastAsia" w:ascii="仿宋_GB2312" w:hAnsi="仿宋_GB2312" w:eastAsia="仿宋_GB2312" w:cs="仿宋_GB2312"/>
                <w:color w:val="auto"/>
                <w:kern w:val="0"/>
                <w:sz w:val="20"/>
                <w:szCs w:val="20"/>
              </w:rPr>
              <w:t>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《中华人民共和国货物进出口管理条例》第</w:t>
            </w:r>
            <w:r>
              <w:rPr>
                <w:rFonts w:hint="eastAsia" w:ascii="仿宋_GB2312" w:hAnsi="仿宋_GB2312" w:eastAsia="仿宋_GB2312" w:cs="仿宋_GB2312"/>
                <w:color w:val="auto"/>
                <w:kern w:val="0"/>
                <w:sz w:val="20"/>
                <w:szCs w:val="20"/>
                <w:lang w:val="en-US" w:eastAsia="zh-CN"/>
              </w:rPr>
              <w:t>33</w:t>
            </w:r>
            <w:r>
              <w:rPr>
                <w:rFonts w:hint="eastAsia" w:ascii="仿宋_GB2312" w:hAnsi="仿宋_GB2312" w:eastAsia="仿宋_GB2312" w:cs="仿宋_GB2312"/>
                <w:color w:val="auto"/>
                <w:kern w:val="0"/>
                <w:sz w:val="20"/>
                <w:szCs w:val="20"/>
              </w:rPr>
              <w:t>条、第</w:t>
            </w:r>
            <w:r>
              <w:rPr>
                <w:rFonts w:hint="eastAsia" w:ascii="仿宋_GB2312" w:hAnsi="仿宋_GB2312" w:eastAsia="仿宋_GB2312" w:cs="仿宋_GB2312"/>
                <w:color w:val="auto"/>
                <w:kern w:val="0"/>
                <w:sz w:val="20"/>
                <w:szCs w:val="20"/>
                <w:lang w:val="en-US" w:eastAsia="zh-CN"/>
              </w:rPr>
              <w:t>34</w:t>
            </w:r>
            <w:r>
              <w:rPr>
                <w:rFonts w:hint="eastAsia" w:ascii="仿宋_GB2312" w:hAnsi="仿宋_GB2312" w:eastAsia="仿宋_GB2312" w:cs="仿宋_GB2312"/>
                <w:color w:val="auto"/>
                <w:kern w:val="0"/>
                <w:sz w:val="20"/>
                <w:szCs w:val="20"/>
              </w:rPr>
              <w:t>条、第</w:t>
            </w:r>
            <w:r>
              <w:rPr>
                <w:rFonts w:hint="eastAsia" w:ascii="仿宋_GB2312" w:hAnsi="仿宋_GB2312" w:eastAsia="仿宋_GB2312" w:cs="仿宋_GB2312"/>
                <w:color w:val="auto"/>
                <w:kern w:val="0"/>
                <w:sz w:val="20"/>
                <w:szCs w:val="20"/>
                <w:lang w:val="en-US" w:eastAsia="zh-CN"/>
              </w:rPr>
              <w:t>43</w:t>
            </w:r>
            <w:r>
              <w:rPr>
                <w:rFonts w:hint="eastAsia" w:ascii="仿宋_GB2312" w:hAnsi="仿宋_GB2312" w:eastAsia="仿宋_GB2312" w:cs="仿宋_GB2312"/>
                <w:color w:val="auto"/>
                <w:kern w:val="0"/>
                <w:sz w:val="20"/>
                <w:szCs w:val="20"/>
              </w:rPr>
              <w:t>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color w:val="auto"/>
                <w:kern w:val="0"/>
                <w:sz w:val="20"/>
                <w:szCs w:val="20"/>
              </w:rPr>
              <w:t>《中华人民共和国禁毒法》第</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《易制毒化学品管理条例》第26条</w:t>
            </w:r>
          </w:p>
        </w:tc>
        <w:tc>
          <w:tcPr>
            <w:tcW w:w="5532" w:type="dxa"/>
            <w:noWrap/>
            <w:vAlign w:val="center"/>
          </w:tcPr>
          <w:p>
            <w:pPr>
              <w:pStyle w:val="2"/>
              <w:tabs>
                <w:tab w:val="left" w:pos="3295"/>
              </w:tabs>
              <w:ind w:left="0" w:leftChars="0" w:firstLine="0" w:firstLine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kern w:val="0"/>
                <w:sz w:val="20"/>
                <w:szCs w:val="20"/>
              </w:rPr>
              <w:t>1.受理责任：公示法定应当提交的材料；一次性告知补正材料；依法受理或不予受理申请（不予受理应当告知理由）。</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2.审查责任：对申请人提交的申请材料进行审查，提出审查意见。</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3.决定责任：在规定期限内作出许可或不予许可的书面决定；不予许可应告知理由，并告知相对人申请复议或提起行政诉讼的权利。</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4.送达责任：在规定期限内向申请人送达行政许可证件；建立信息档案；公开有关信息。</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5.监管责任：加强监管，防止弄虚作假。</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6.法律法规规章文件规定应履行的其他责任。</w:t>
            </w:r>
          </w:p>
        </w:tc>
        <w:tc>
          <w:tcPr>
            <w:tcW w:w="2337" w:type="dxa"/>
            <w:noWrap/>
            <w:vAlign w:val="center"/>
          </w:tcPr>
          <w:p>
            <w:pPr>
              <w:widowControl/>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《行政许可法》第30、32、34、37、38、39、40、42、44、61条；</w:t>
            </w:r>
          </w:p>
          <w:p>
            <w:pPr>
              <w:pStyle w:val="2"/>
              <w:ind w:left="0" w:leftChars="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《中华人民共和国对外贸易法》第</w:t>
            </w:r>
            <w:r>
              <w:rPr>
                <w:rFonts w:hint="eastAsia" w:ascii="仿宋_GB2312" w:hAnsi="仿宋_GB2312" w:eastAsia="仿宋_GB2312" w:cs="仿宋_GB2312"/>
                <w:color w:val="auto"/>
                <w:kern w:val="0"/>
                <w:sz w:val="20"/>
                <w:szCs w:val="20"/>
                <w:lang w:val="en-US" w:eastAsia="zh-CN"/>
              </w:rPr>
              <w:t>61</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p>
          <w:p>
            <w:pPr>
              <w:pStyle w:val="2"/>
              <w:ind w:left="0" w:leftChars="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《中华人民共和国货物进出口管理条例》第</w:t>
            </w:r>
            <w:r>
              <w:rPr>
                <w:rFonts w:hint="eastAsia" w:ascii="仿宋_GB2312" w:hAnsi="仿宋_GB2312" w:eastAsia="仿宋_GB2312" w:cs="仿宋_GB2312"/>
                <w:color w:val="auto"/>
                <w:kern w:val="0"/>
                <w:sz w:val="20"/>
                <w:szCs w:val="20"/>
                <w:lang w:val="en-US" w:eastAsia="zh-CN"/>
              </w:rPr>
              <w:t>64</w:t>
            </w:r>
            <w:r>
              <w:rPr>
                <w:rFonts w:hint="eastAsia" w:ascii="仿宋_GB2312" w:hAnsi="仿宋_GB2312" w:eastAsia="仿宋_GB2312" w:cs="仿宋_GB2312"/>
                <w:color w:val="auto"/>
                <w:kern w:val="0"/>
                <w:sz w:val="20"/>
                <w:szCs w:val="20"/>
              </w:rPr>
              <w:t>条、第</w:t>
            </w:r>
            <w:r>
              <w:rPr>
                <w:rFonts w:hint="eastAsia" w:ascii="仿宋_GB2312" w:hAnsi="仿宋_GB2312" w:eastAsia="仿宋_GB2312" w:cs="仿宋_GB2312"/>
                <w:color w:val="auto"/>
                <w:kern w:val="0"/>
                <w:sz w:val="20"/>
                <w:szCs w:val="20"/>
                <w:lang w:val="en-US" w:eastAsia="zh-CN"/>
              </w:rPr>
              <w:t>67</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p>
          <w:p>
            <w:pPr>
              <w:pStyle w:val="2"/>
              <w:ind w:left="0" w:leftChars="0"/>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《中华人民共和国禁毒法》第</w:t>
            </w:r>
            <w:r>
              <w:rPr>
                <w:rFonts w:hint="eastAsia" w:ascii="仿宋_GB2312" w:hAnsi="仿宋_GB2312" w:eastAsia="仿宋_GB2312" w:cs="仿宋_GB2312"/>
                <w:color w:val="auto"/>
                <w:kern w:val="0"/>
                <w:sz w:val="20"/>
                <w:szCs w:val="20"/>
                <w:lang w:val="en-US" w:eastAsia="zh-CN"/>
              </w:rPr>
              <w:t>64</w:t>
            </w:r>
            <w:r>
              <w:rPr>
                <w:rFonts w:hint="eastAsia" w:ascii="仿宋_GB2312" w:hAnsi="仿宋_GB2312" w:eastAsia="仿宋_GB2312" w:cs="仿宋_GB2312"/>
                <w:color w:val="auto"/>
                <w:kern w:val="0"/>
                <w:sz w:val="20"/>
                <w:szCs w:val="20"/>
              </w:rPr>
              <w:t>条</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《易制毒化学品管理条例》第26条</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p>
        </w:tc>
        <w:tc>
          <w:tcPr>
            <w:tcW w:w="808" w:type="dxa"/>
            <w:noWrap/>
            <w:vAlign w:val="center"/>
          </w:tcPr>
          <w:p>
            <w:pPr>
              <w:widowControl/>
              <w:wordWrap/>
              <w:adjustRightInd/>
              <w:snapToGrid/>
              <w:spacing w:before="0" w:beforeAutospacing="0" w:after="0" w:afterAutospacing="0" w:line="240" w:lineRule="exact"/>
              <w:ind w:left="0" w:leftChars="0" w:right="0" w:rightChars="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管制处</w:t>
            </w:r>
          </w:p>
        </w:tc>
        <w:tc>
          <w:tcPr>
            <w:tcW w:w="1007" w:type="dxa"/>
            <w:noWrap/>
            <w:vAlign w:val="center"/>
          </w:tcPr>
          <w:p>
            <w:pPr>
              <w:widowControl/>
              <w:wordWrap/>
              <w:adjustRightInd/>
              <w:snapToGrid/>
              <w:spacing w:before="0" w:beforeAutospacing="0" w:after="0" w:afterAutospacing="0" w:line="240" w:lineRule="exact"/>
              <w:ind w:left="0" w:leftChars="0" w:right="0" w:rightChars="0"/>
              <w:jc w:val="left"/>
              <w:textAlignment w:val="center"/>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受商务部委托，省级商务部门有8个易制毒化学品的进出口审批权限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22"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行政许可</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对外劳务合作经营资格核准</w:t>
            </w:r>
          </w:p>
        </w:tc>
        <w:tc>
          <w:tcPr>
            <w:tcW w:w="2389" w:type="dxa"/>
            <w:noWrap/>
            <w:vAlign w:val="center"/>
          </w:tcPr>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《中华人民共和国对外贸易法》第10条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《对外劳务合作管理条例》第5、7条</w:t>
            </w:r>
          </w:p>
        </w:tc>
        <w:tc>
          <w:tcPr>
            <w:tcW w:w="5532" w:type="dxa"/>
            <w:noWrap/>
            <w:vAlign w:val="center"/>
          </w:tcPr>
          <w:p>
            <w:pPr>
              <w:pStyle w:val="2"/>
              <w:tabs>
                <w:tab w:val="left" w:pos="3295"/>
              </w:tabs>
              <w:ind w:left="0" w:leftChars="0" w:firstLine="0" w:firstLineChars="0"/>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kern w:val="0"/>
                <w:sz w:val="20"/>
                <w:szCs w:val="20"/>
              </w:rPr>
              <w:t>1.受理责任：公示法定应当提交的材料；一次性告知补正材料；依法受理或不予受理申请（不予受理应当告知理由）。</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2.审查责任：对申请人提交的申请材料进行审查，提出审查意见。</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3.决定责任：在规定期限内作出许可或不予许可的书面决定；不予许可应告知理由，并告知相对人申请复议或提起行政诉讼的权利。</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4.送达责任：在规定期限内向申请人送达行政许可证件；建立信息档案；公开有关信息。</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5.监管责任：加强监管，防止弄虚作假。</w:t>
            </w:r>
            <w:r>
              <w:rPr>
                <w:rFonts w:hint="eastAsia" w:ascii="仿宋_GB2312" w:hAnsi="仿宋_GB2312" w:eastAsia="仿宋_GB2312" w:cs="仿宋_GB2312"/>
                <w:b w:val="0"/>
                <w:bCs w:val="0"/>
                <w:color w:val="auto"/>
                <w:kern w:val="0"/>
                <w:sz w:val="20"/>
                <w:szCs w:val="20"/>
              </w:rPr>
              <w:br w:type="textWrapping"/>
            </w:r>
            <w:r>
              <w:rPr>
                <w:rFonts w:hint="eastAsia" w:ascii="仿宋_GB2312" w:hAnsi="仿宋_GB2312" w:eastAsia="仿宋_GB2312" w:cs="仿宋_GB2312"/>
                <w:b w:val="0"/>
                <w:bCs w:val="0"/>
                <w:color w:val="auto"/>
                <w:kern w:val="0"/>
                <w:sz w:val="20"/>
                <w:szCs w:val="20"/>
              </w:rPr>
              <w:t>6.法律法规规章文件规定应履行的其他责任。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《行政许可法》第30、32、34、37、38、39、40、42、44、61条；</w:t>
            </w:r>
          </w:p>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《中华人民共和国对外贸易法》第10条；</w:t>
            </w:r>
          </w:p>
          <w:p>
            <w:pPr>
              <w:pStyle w:val="2"/>
              <w:ind w:left="0" w:leftChars="0" w:firstLine="0" w:firstLineChars="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《对外劳务合作管理条例》第5、7条。</w:t>
            </w:r>
          </w:p>
        </w:tc>
        <w:tc>
          <w:tcPr>
            <w:tcW w:w="808" w:type="dxa"/>
            <w:noWrap/>
            <w:vAlign w:val="center"/>
          </w:tcPr>
          <w:p>
            <w:pPr>
              <w:widowControl/>
              <w:wordWrap/>
              <w:adjustRightInd/>
              <w:snapToGrid/>
              <w:spacing w:before="0" w:beforeAutospacing="0" w:after="0" w:afterAutospacing="0" w:line="240" w:lineRule="exact"/>
              <w:ind w:left="0" w:leftChars="0" w:right="0" w:rightChars="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leftChars="0" w:right="0" w:rightChars="0"/>
              <w:jc w:val="left"/>
              <w:textAlignment w:val="center"/>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248"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拍卖企业申请取得从事拍卖业务的许可后连续6个月无正当理由未举办拍卖会或没有营业纳税证明的</w:t>
            </w:r>
          </w:p>
        </w:tc>
        <w:tc>
          <w:tcPr>
            <w:tcW w:w="2389" w:type="dxa"/>
            <w:noWrap/>
            <w:vAlign w:val="center"/>
          </w:tcPr>
          <w:p>
            <w:pPr>
              <w:widowControl/>
              <w:wordWrap/>
              <w:adjustRightInd/>
              <w:snapToGrid/>
              <w:spacing w:before="0" w:beforeAutospacing="0" w:after="0" w:afterAutospacing="0" w:line="240" w:lineRule="exact"/>
              <w:ind w:left="0" w:right="0"/>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修订）第14条</w:t>
            </w:r>
          </w:p>
        </w:tc>
        <w:tc>
          <w:tcPr>
            <w:tcW w:w="5532" w:type="dxa"/>
            <w:noWrap/>
            <w:vAlign w:val="center"/>
          </w:tcPr>
          <w:p>
            <w:pPr>
              <w:pStyle w:val="2"/>
              <w:keepNext w:val="0"/>
              <w:keepLines w:val="0"/>
              <w:pageBreakBefore w:val="0"/>
              <w:widowControl w:val="0"/>
              <w:tabs>
                <w:tab w:val="left" w:pos="3295"/>
              </w:tabs>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1.立案责任：检查中发现或者街道举报投诉拍卖企业申请取得从事拍卖业务的许可后连续6个月无正当理由未举办拍卖会或没有营业纳税证明的，决定是否立案。</w:t>
            </w:r>
          </w:p>
          <w:p>
            <w:pPr>
              <w:pStyle w:val="2"/>
              <w:keepNext w:val="0"/>
              <w:keepLines w:val="0"/>
              <w:pageBreakBefore w:val="0"/>
              <w:widowControl w:val="0"/>
              <w:tabs>
                <w:tab w:val="left" w:pos="3295"/>
              </w:tabs>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2.调查责任：在调查或检查时，执法人员不得少于2人，并向当事人或有关人员出示证件，询问或检查应制作笔录；执法人员与当事人有直接利害关系的，应当回避。</w:t>
            </w:r>
          </w:p>
          <w:p>
            <w:pPr>
              <w:pStyle w:val="2"/>
              <w:keepNext w:val="0"/>
              <w:keepLines w:val="0"/>
              <w:pageBreakBefore w:val="0"/>
              <w:widowControl w:val="0"/>
              <w:tabs>
                <w:tab w:val="left" w:pos="3295"/>
              </w:tabs>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2"/>
              <w:keepNext w:val="0"/>
              <w:keepLines w:val="0"/>
              <w:pageBreakBefore w:val="0"/>
              <w:widowControl w:val="0"/>
              <w:tabs>
                <w:tab w:val="left" w:pos="3295"/>
              </w:tabs>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4.告知责任：在作出处罚决定之前，应当告知当事人作出处罚决定的事由、理由及依据，并告知当事人依法享有的权利；当事人依法要求听证的，应组织听证。</w:t>
            </w:r>
          </w:p>
          <w:p>
            <w:pPr>
              <w:pStyle w:val="2"/>
              <w:keepNext w:val="0"/>
              <w:keepLines w:val="0"/>
              <w:pageBreakBefore w:val="0"/>
              <w:widowControl w:val="0"/>
              <w:tabs>
                <w:tab w:val="left" w:pos="3295"/>
              </w:tabs>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5.决定责任：依法应当给予行政处罚的，制作盖有行政机关印章的行政处罚决定书，载明违法事实、证据、处罚种类和依据、权利救济途径等内容。</w:t>
            </w:r>
          </w:p>
          <w:p>
            <w:pPr>
              <w:pStyle w:val="2"/>
              <w:keepNext w:val="0"/>
              <w:keepLines w:val="0"/>
              <w:pageBreakBefore w:val="0"/>
              <w:widowControl w:val="0"/>
              <w:tabs>
                <w:tab w:val="left" w:pos="3295"/>
              </w:tabs>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6.送达责任：行政处罚决定书在决定后七日内依照民事诉讼法的有关规定送达当事人。</w:t>
            </w:r>
          </w:p>
          <w:p>
            <w:pPr>
              <w:pStyle w:val="2"/>
              <w:keepNext w:val="0"/>
              <w:keepLines w:val="0"/>
              <w:pageBreakBefore w:val="0"/>
              <w:widowControl w:val="0"/>
              <w:tabs>
                <w:tab w:val="left" w:pos="3295"/>
              </w:tabs>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7.执行责任：督促当事人履行生效的行政处罚决定，对逾期不履行的，依照《行政强制法》的规定执行。</w:t>
            </w:r>
          </w:p>
          <w:p>
            <w:pPr>
              <w:pStyle w:val="2"/>
              <w:keepNext w:val="0"/>
              <w:keepLines w:val="0"/>
              <w:pageBreakBefore w:val="0"/>
              <w:widowControl w:val="0"/>
              <w:tabs>
                <w:tab w:val="left" w:pos="3295"/>
              </w:tabs>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8.法律法规规章文件规定应履行的其他责任。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2021年修正</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rPr>
              <w:t>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63</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修订）第14条。</w:t>
            </w:r>
          </w:p>
        </w:tc>
        <w:tc>
          <w:tcPr>
            <w:tcW w:w="808" w:type="dxa"/>
            <w:noWrap/>
            <w:vAlign w:val="center"/>
          </w:tcPr>
          <w:p>
            <w:pPr>
              <w:widowControl/>
              <w:wordWrap/>
              <w:adjustRightInd/>
              <w:snapToGrid/>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b w:val="0"/>
                <w:bCs w:val="0"/>
                <w:color w:val="auto"/>
                <w:kern w:val="0"/>
                <w:sz w:val="20"/>
                <w:szCs w:val="20"/>
                <w:lang w:val="en-US" w:eastAsia="zh-CN" w:bidi="ar-SA"/>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823"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对</w:t>
            </w:r>
            <w:r>
              <w:rPr>
                <w:rFonts w:hint="eastAsia" w:ascii="仿宋_GB2312" w:hAnsi="仿宋_GB2312" w:eastAsia="仿宋_GB2312" w:cs="仿宋_GB2312"/>
                <w:color w:val="auto"/>
                <w:kern w:val="0"/>
                <w:sz w:val="20"/>
                <w:szCs w:val="20"/>
              </w:rPr>
              <w:t>拍卖师违反</w:t>
            </w:r>
            <w:r>
              <w:rPr>
                <w:rFonts w:hint="eastAsia" w:ascii="仿宋_GB2312" w:hAnsi="仿宋_GB2312" w:eastAsia="仿宋_GB2312" w:cs="仿宋_GB2312"/>
                <w:b w:val="0"/>
                <w:bCs w:val="0"/>
                <w:color w:val="auto"/>
                <w:kern w:val="0"/>
                <w:sz w:val="20"/>
                <w:szCs w:val="20"/>
                <w:lang w:val="en-US" w:eastAsia="zh-CN"/>
              </w:rPr>
              <w:t>《拍卖管理办法》</w:t>
            </w:r>
            <w:r>
              <w:rPr>
                <w:rFonts w:hint="eastAsia" w:ascii="仿宋_GB2312" w:hAnsi="仿宋_GB2312" w:eastAsia="仿宋_GB2312" w:cs="仿宋_GB2312"/>
                <w:color w:val="auto"/>
                <w:kern w:val="0"/>
                <w:sz w:val="20"/>
                <w:szCs w:val="20"/>
              </w:rPr>
              <w:t>第二十三条、第二十四条规定或有向监管部门隐瞒情况、提供虚假材料等其他违规行为</w:t>
            </w:r>
            <w:r>
              <w:rPr>
                <w:rFonts w:hint="eastAsia" w:ascii="仿宋_GB2312" w:hAnsi="仿宋_GB2312" w:eastAsia="仿宋_GB2312" w:cs="仿宋_GB2312"/>
                <w:b w:val="0"/>
                <w:bCs w:val="0"/>
                <w:color w:val="auto"/>
                <w:kern w:val="0"/>
                <w:sz w:val="20"/>
                <w:szCs w:val="20"/>
                <w:lang w:val="en-US" w:eastAsia="zh-CN"/>
              </w:rPr>
              <w:t>的处罚</w:t>
            </w:r>
          </w:p>
        </w:tc>
        <w:tc>
          <w:tcPr>
            <w:tcW w:w="2389"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修订）第23、24、44条</w:t>
            </w:r>
          </w:p>
        </w:tc>
        <w:tc>
          <w:tcPr>
            <w:tcW w:w="5532"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1.立案责任：</w:t>
            </w:r>
            <w:r>
              <w:rPr>
                <w:rStyle w:val="13"/>
                <w:rFonts w:hint="eastAsia" w:ascii="仿宋_GB2312" w:hAnsi="仿宋_GB2312" w:eastAsia="仿宋_GB2312" w:cs="仿宋_GB2312"/>
                <w:b w:val="0"/>
                <w:bCs w:val="0"/>
                <w:color w:val="auto"/>
                <w:sz w:val="20"/>
                <w:szCs w:val="20"/>
              </w:rPr>
              <w:t>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2.调查责任：</w:t>
            </w:r>
            <w:r>
              <w:rPr>
                <w:rStyle w:val="13"/>
                <w:rFonts w:hint="eastAsia" w:ascii="仿宋_GB2312" w:hAnsi="仿宋_GB2312" w:eastAsia="仿宋_GB2312" w:cs="仿宋_GB2312"/>
                <w:b w:val="0"/>
                <w:bCs w:val="0"/>
                <w:color w:val="auto"/>
                <w:sz w:val="20"/>
                <w:szCs w:val="20"/>
              </w:rPr>
              <w:t>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3.审查责任：</w:t>
            </w:r>
            <w:r>
              <w:rPr>
                <w:rStyle w:val="13"/>
                <w:rFonts w:hint="eastAsia" w:ascii="仿宋_GB2312" w:hAnsi="仿宋_GB2312" w:eastAsia="仿宋_GB2312" w:cs="仿宋_GB2312"/>
                <w:b w:val="0"/>
                <w:bCs w:val="0"/>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4.告知责任：</w:t>
            </w:r>
            <w:r>
              <w:rPr>
                <w:rStyle w:val="13"/>
                <w:rFonts w:hint="eastAsia" w:ascii="仿宋_GB2312" w:hAnsi="仿宋_GB2312" w:eastAsia="仿宋_GB2312" w:cs="仿宋_GB2312"/>
                <w:b w:val="0"/>
                <w:bCs w:val="0"/>
                <w:color w:val="auto"/>
                <w:sz w:val="20"/>
                <w:szCs w:val="20"/>
              </w:rPr>
              <w:t>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5.决定责任：</w:t>
            </w:r>
            <w:r>
              <w:rPr>
                <w:rStyle w:val="13"/>
                <w:rFonts w:hint="eastAsia" w:ascii="仿宋_GB2312" w:hAnsi="仿宋_GB2312" w:eastAsia="仿宋_GB2312" w:cs="仿宋_GB2312"/>
                <w:b w:val="0"/>
                <w:bCs w:val="0"/>
                <w:color w:val="auto"/>
                <w:sz w:val="20"/>
                <w:szCs w:val="20"/>
              </w:rPr>
              <w:t>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6.送达责任：</w:t>
            </w:r>
            <w:r>
              <w:rPr>
                <w:rStyle w:val="13"/>
                <w:rFonts w:hint="eastAsia" w:ascii="仿宋_GB2312" w:hAnsi="仿宋_GB2312" w:eastAsia="仿宋_GB2312" w:cs="仿宋_GB2312"/>
                <w:b w:val="0"/>
                <w:bCs w:val="0"/>
                <w:color w:val="auto"/>
                <w:sz w:val="20"/>
                <w:szCs w:val="20"/>
              </w:rPr>
              <w:t>行政处罚决定书在决定后七日内依照民事诉讼法的有关规定送达当事人。</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7.执行责任：</w:t>
            </w:r>
            <w:r>
              <w:rPr>
                <w:rStyle w:val="13"/>
                <w:rFonts w:hint="eastAsia" w:ascii="仿宋_GB2312" w:hAnsi="仿宋_GB2312" w:eastAsia="仿宋_GB2312" w:cs="仿宋_GB2312"/>
                <w:b w:val="0"/>
                <w:bCs w:val="0"/>
                <w:color w:val="auto"/>
                <w:sz w:val="20"/>
                <w:szCs w:val="20"/>
              </w:rPr>
              <w:t>督促当事人履行生效的行政处罚决定，对逾期不履行的，依照《行政强制法》的规定执行。</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8.</w:t>
            </w:r>
            <w:r>
              <w:rPr>
                <w:rStyle w:val="13"/>
                <w:rFonts w:hint="eastAsia" w:ascii="仿宋_GB2312" w:hAnsi="仿宋_GB2312" w:eastAsia="仿宋_GB2312" w:cs="仿宋_GB2312"/>
                <w:b w:val="0"/>
                <w:bCs w:val="0"/>
                <w:color w:val="auto"/>
                <w:sz w:val="20"/>
                <w:szCs w:val="20"/>
              </w:rPr>
              <w:t>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2021年修正</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rPr>
              <w:t>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63</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修订）第23、24、44条。</w:t>
            </w:r>
          </w:p>
        </w:tc>
        <w:tc>
          <w:tcPr>
            <w:tcW w:w="80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295"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对拍卖企业出租、擅自转让拍卖经营权的处罚</w:t>
            </w:r>
          </w:p>
        </w:tc>
        <w:tc>
          <w:tcPr>
            <w:tcW w:w="2389"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修订）第27条第1项、46条</w:t>
            </w:r>
          </w:p>
        </w:tc>
        <w:tc>
          <w:tcPr>
            <w:tcW w:w="5532"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1.立案责任：</w:t>
            </w:r>
            <w:r>
              <w:rPr>
                <w:rStyle w:val="13"/>
                <w:rFonts w:hint="eastAsia" w:ascii="仿宋_GB2312" w:hAnsi="仿宋_GB2312" w:eastAsia="仿宋_GB2312" w:cs="仿宋_GB2312"/>
                <w:b w:val="0"/>
                <w:bCs w:val="0"/>
                <w:color w:val="auto"/>
                <w:sz w:val="20"/>
                <w:szCs w:val="20"/>
              </w:rPr>
              <w:t>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2.调查责任：</w:t>
            </w:r>
            <w:r>
              <w:rPr>
                <w:rStyle w:val="13"/>
                <w:rFonts w:hint="eastAsia" w:ascii="仿宋_GB2312" w:hAnsi="仿宋_GB2312" w:eastAsia="仿宋_GB2312" w:cs="仿宋_GB2312"/>
                <w:b w:val="0"/>
                <w:bCs w:val="0"/>
                <w:color w:val="auto"/>
                <w:sz w:val="20"/>
                <w:szCs w:val="20"/>
              </w:rPr>
              <w:t>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3.审查责任：</w:t>
            </w:r>
            <w:r>
              <w:rPr>
                <w:rStyle w:val="13"/>
                <w:rFonts w:hint="eastAsia" w:ascii="仿宋_GB2312" w:hAnsi="仿宋_GB2312" w:eastAsia="仿宋_GB2312" w:cs="仿宋_GB2312"/>
                <w:b w:val="0"/>
                <w:bCs w:val="0"/>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4.告知责任：</w:t>
            </w:r>
            <w:r>
              <w:rPr>
                <w:rStyle w:val="13"/>
                <w:rFonts w:hint="eastAsia" w:ascii="仿宋_GB2312" w:hAnsi="仿宋_GB2312" w:eastAsia="仿宋_GB2312" w:cs="仿宋_GB2312"/>
                <w:b w:val="0"/>
                <w:bCs w:val="0"/>
                <w:color w:val="auto"/>
                <w:sz w:val="20"/>
                <w:szCs w:val="20"/>
              </w:rPr>
              <w:t>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5.决定责任：</w:t>
            </w:r>
            <w:r>
              <w:rPr>
                <w:rStyle w:val="13"/>
                <w:rFonts w:hint="eastAsia" w:ascii="仿宋_GB2312" w:hAnsi="仿宋_GB2312" w:eastAsia="仿宋_GB2312" w:cs="仿宋_GB2312"/>
                <w:b w:val="0"/>
                <w:bCs w:val="0"/>
                <w:color w:val="auto"/>
                <w:sz w:val="20"/>
                <w:szCs w:val="20"/>
              </w:rPr>
              <w:t>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6.送达责任：</w:t>
            </w:r>
            <w:r>
              <w:rPr>
                <w:rStyle w:val="13"/>
                <w:rFonts w:hint="eastAsia" w:ascii="仿宋_GB2312" w:hAnsi="仿宋_GB2312" w:eastAsia="仿宋_GB2312" w:cs="仿宋_GB2312"/>
                <w:b w:val="0"/>
                <w:bCs w:val="0"/>
                <w:color w:val="auto"/>
                <w:sz w:val="20"/>
                <w:szCs w:val="20"/>
              </w:rPr>
              <w:t>行政处罚决定书在决定后七日内依照民事诉讼法的有关规定送达当事人。</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7.执行责任：</w:t>
            </w:r>
            <w:r>
              <w:rPr>
                <w:rStyle w:val="13"/>
                <w:rFonts w:hint="eastAsia" w:ascii="仿宋_GB2312" w:hAnsi="仿宋_GB2312" w:eastAsia="仿宋_GB2312" w:cs="仿宋_GB2312"/>
                <w:b w:val="0"/>
                <w:bCs w:val="0"/>
                <w:color w:val="auto"/>
                <w:sz w:val="20"/>
                <w:szCs w:val="20"/>
              </w:rPr>
              <w:t>督促当事人履行生效的行政处罚决定，对逾期不履行的，依照《行政强制法》的规定执行。</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8.</w:t>
            </w:r>
            <w:r>
              <w:rPr>
                <w:rStyle w:val="13"/>
                <w:rFonts w:hint="eastAsia" w:ascii="仿宋_GB2312" w:hAnsi="仿宋_GB2312" w:eastAsia="仿宋_GB2312" w:cs="仿宋_GB2312"/>
                <w:b w:val="0"/>
                <w:bCs w:val="0"/>
                <w:color w:val="auto"/>
                <w:sz w:val="20"/>
                <w:szCs w:val="20"/>
              </w:rPr>
              <w:t>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2021年修正</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rPr>
              <w:t>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63</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修订）第27条第1项、46条。</w:t>
            </w:r>
          </w:p>
        </w:tc>
        <w:tc>
          <w:tcPr>
            <w:tcW w:w="80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006"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rPr>
              <w:t>对拍卖企业雇佣未依法注册的拍卖师或其他人员充任拍卖师主持拍卖活动的处罚</w:t>
            </w:r>
          </w:p>
        </w:tc>
        <w:tc>
          <w:tcPr>
            <w:tcW w:w="2389"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w:t>
            </w:r>
            <w:r>
              <w:rPr>
                <w:rFonts w:hint="eastAsia" w:ascii="仿宋_GB2312" w:hAnsi="仿宋_GB2312" w:eastAsia="仿宋_GB2312" w:cs="仿宋_GB2312"/>
                <w:b w:val="0"/>
                <w:bCs w:val="0"/>
                <w:color w:val="auto"/>
                <w:kern w:val="0"/>
                <w:sz w:val="20"/>
                <w:szCs w:val="20"/>
              </w:rPr>
              <w:t>第</w:t>
            </w:r>
            <w:r>
              <w:rPr>
                <w:rFonts w:hint="eastAsia" w:ascii="仿宋_GB2312" w:hAnsi="仿宋_GB2312" w:eastAsia="仿宋_GB2312" w:cs="仿宋_GB2312"/>
                <w:b w:val="0"/>
                <w:bCs w:val="0"/>
                <w:color w:val="auto"/>
                <w:kern w:val="0"/>
                <w:sz w:val="20"/>
                <w:szCs w:val="20"/>
                <w:lang w:val="en-US" w:eastAsia="zh-CN"/>
              </w:rPr>
              <w:t>27</w:t>
            </w:r>
            <w:r>
              <w:rPr>
                <w:rFonts w:hint="eastAsia" w:ascii="仿宋_GB2312" w:hAnsi="仿宋_GB2312" w:eastAsia="仿宋_GB2312" w:cs="仿宋_GB2312"/>
                <w:b w:val="0"/>
                <w:bCs w:val="0"/>
                <w:color w:val="auto"/>
                <w:kern w:val="0"/>
                <w:sz w:val="20"/>
                <w:szCs w:val="20"/>
              </w:rPr>
              <w:t>条第3项、</w:t>
            </w:r>
            <w:r>
              <w:rPr>
                <w:rFonts w:hint="eastAsia" w:ascii="仿宋_GB2312" w:hAnsi="仿宋_GB2312" w:eastAsia="仿宋_GB2312" w:cs="仿宋_GB2312"/>
                <w:b w:val="0"/>
                <w:bCs w:val="0"/>
                <w:color w:val="auto"/>
                <w:kern w:val="0"/>
                <w:sz w:val="20"/>
                <w:szCs w:val="20"/>
                <w:lang w:val="en-US" w:eastAsia="zh-CN"/>
              </w:rPr>
              <w:t>47</w:t>
            </w:r>
            <w:r>
              <w:rPr>
                <w:rFonts w:hint="eastAsia" w:ascii="仿宋_GB2312" w:hAnsi="仿宋_GB2312" w:eastAsia="仿宋_GB2312" w:cs="仿宋_GB2312"/>
                <w:b w:val="0"/>
                <w:bCs w:val="0"/>
                <w:color w:val="auto"/>
                <w:kern w:val="0"/>
                <w:sz w:val="20"/>
                <w:szCs w:val="20"/>
              </w:rPr>
              <w:t>条</w:t>
            </w:r>
          </w:p>
        </w:tc>
        <w:tc>
          <w:tcPr>
            <w:tcW w:w="5532"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1.立案责任：</w:t>
            </w:r>
            <w:r>
              <w:rPr>
                <w:rStyle w:val="13"/>
                <w:rFonts w:hint="eastAsia" w:ascii="仿宋_GB2312" w:hAnsi="仿宋_GB2312" w:eastAsia="仿宋_GB2312" w:cs="仿宋_GB2312"/>
                <w:b w:val="0"/>
                <w:bCs w:val="0"/>
                <w:color w:val="auto"/>
                <w:sz w:val="20"/>
                <w:szCs w:val="20"/>
              </w:rPr>
              <w:t>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2.调查责任：</w:t>
            </w:r>
            <w:r>
              <w:rPr>
                <w:rStyle w:val="13"/>
                <w:rFonts w:hint="eastAsia" w:ascii="仿宋_GB2312" w:hAnsi="仿宋_GB2312" w:eastAsia="仿宋_GB2312" w:cs="仿宋_GB2312"/>
                <w:b w:val="0"/>
                <w:bCs w:val="0"/>
                <w:color w:val="auto"/>
                <w:sz w:val="20"/>
                <w:szCs w:val="20"/>
              </w:rPr>
              <w:t>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3.审查责任：</w:t>
            </w:r>
            <w:r>
              <w:rPr>
                <w:rStyle w:val="13"/>
                <w:rFonts w:hint="eastAsia" w:ascii="仿宋_GB2312" w:hAnsi="仿宋_GB2312" w:eastAsia="仿宋_GB2312" w:cs="仿宋_GB2312"/>
                <w:b w:val="0"/>
                <w:bCs w:val="0"/>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4.告知责任：</w:t>
            </w:r>
            <w:r>
              <w:rPr>
                <w:rStyle w:val="13"/>
                <w:rFonts w:hint="eastAsia" w:ascii="仿宋_GB2312" w:hAnsi="仿宋_GB2312" w:eastAsia="仿宋_GB2312" w:cs="仿宋_GB2312"/>
                <w:b w:val="0"/>
                <w:bCs w:val="0"/>
                <w:color w:val="auto"/>
                <w:sz w:val="20"/>
                <w:szCs w:val="20"/>
              </w:rPr>
              <w:t>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5.决定责任：</w:t>
            </w:r>
            <w:r>
              <w:rPr>
                <w:rStyle w:val="13"/>
                <w:rFonts w:hint="eastAsia" w:ascii="仿宋_GB2312" w:hAnsi="仿宋_GB2312" w:eastAsia="仿宋_GB2312" w:cs="仿宋_GB2312"/>
                <w:b w:val="0"/>
                <w:bCs w:val="0"/>
                <w:color w:val="auto"/>
                <w:sz w:val="20"/>
                <w:szCs w:val="20"/>
              </w:rPr>
              <w:t>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6.送达责任：</w:t>
            </w:r>
            <w:r>
              <w:rPr>
                <w:rStyle w:val="13"/>
                <w:rFonts w:hint="eastAsia" w:ascii="仿宋_GB2312" w:hAnsi="仿宋_GB2312" w:eastAsia="仿宋_GB2312" w:cs="仿宋_GB2312"/>
                <w:b w:val="0"/>
                <w:bCs w:val="0"/>
                <w:color w:val="auto"/>
                <w:sz w:val="20"/>
                <w:szCs w:val="20"/>
              </w:rPr>
              <w:t>行政处罚决定书在决定后七日内依照民事诉讼法的有关规定送达当事人。</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7.执行责任：</w:t>
            </w:r>
            <w:r>
              <w:rPr>
                <w:rStyle w:val="13"/>
                <w:rFonts w:hint="eastAsia" w:ascii="仿宋_GB2312" w:hAnsi="仿宋_GB2312" w:eastAsia="仿宋_GB2312" w:cs="仿宋_GB2312"/>
                <w:b w:val="0"/>
                <w:bCs w:val="0"/>
                <w:color w:val="auto"/>
                <w:sz w:val="20"/>
                <w:szCs w:val="20"/>
              </w:rPr>
              <w:t>督促当事人履行生效的行政处罚决定，对逾期不履行的，依照《行政强制法》的规定执行。</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8.</w:t>
            </w:r>
            <w:r>
              <w:rPr>
                <w:rStyle w:val="13"/>
                <w:rFonts w:hint="eastAsia" w:ascii="仿宋_GB2312" w:hAnsi="仿宋_GB2312" w:eastAsia="仿宋_GB2312" w:cs="仿宋_GB2312"/>
                <w:b w:val="0"/>
                <w:bCs w:val="0"/>
                <w:color w:val="auto"/>
                <w:sz w:val="20"/>
                <w:szCs w:val="20"/>
              </w:rPr>
              <w:t>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2021年修正</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rPr>
              <w:t>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63</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w:t>
            </w:r>
            <w:r>
              <w:rPr>
                <w:rFonts w:hint="eastAsia" w:ascii="仿宋_GB2312" w:hAnsi="仿宋_GB2312" w:eastAsia="仿宋_GB2312" w:cs="仿宋_GB2312"/>
                <w:b w:val="0"/>
                <w:bCs w:val="0"/>
                <w:color w:val="auto"/>
                <w:kern w:val="0"/>
                <w:sz w:val="20"/>
                <w:szCs w:val="20"/>
              </w:rPr>
              <w:t>第</w:t>
            </w:r>
            <w:r>
              <w:rPr>
                <w:rFonts w:hint="eastAsia" w:ascii="仿宋_GB2312" w:hAnsi="仿宋_GB2312" w:eastAsia="仿宋_GB2312" w:cs="仿宋_GB2312"/>
                <w:b w:val="0"/>
                <w:bCs w:val="0"/>
                <w:color w:val="auto"/>
                <w:kern w:val="0"/>
                <w:sz w:val="20"/>
                <w:szCs w:val="20"/>
                <w:lang w:val="en-US" w:eastAsia="zh-CN"/>
              </w:rPr>
              <w:t>27</w:t>
            </w:r>
            <w:r>
              <w:rPr>
                <w:rFonts w:hint="eastAsia" w:ascii="仿宋_GB2312" w:hAnsi="仿宋_GB2312" w:eastAsia="仿宋_GB2312" w:cs="仿宋_GB2312"/>
                <w:b w:val="0"/>
                <w:bCs w:val="0"/>
                <w:color w:val="auto"/>
                <w:kern w:val="0"/>
                <w:sz w:val="20"/>
                <w:szCs w:val="20"/>
              </w:rPr>
              <w:t>条第3项、</w:t>
            </w:r>
            <w:r>
              <w:rPr>
                <w:rFonts w:hint="eastAsia" w:ascii="仿宋_GB2312" w:hAnsi="仿宋_GB2312" w:eastAsia="仿宋_GB2312" w:cs="仿宋_GB2312"/>
                <w:b w:val="0"/>
                <w:bCs w:val="0"/>
                <w:color w:val="auto"/>
                <w:kern w:val="0"/>
                <w:sz w:val="20"/>
                <w:szCs w:val="20"/>
                <w:lang w:val="en-US" w:eastAsia="zh-CN"/>
              </w:rPr>
              <w:t>47</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tc>
        <w:tc>
          <w:tcPr>
            <w:tcW w:w="80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965"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0" w:right="0" w:firstLine="0"/>
              <w:jc w:val="center"/>
              <w:rPr>
                <w:rFonts w:hint="eastAsia" w:ascii="仿宋_GB2312" w:hAnsi="仿宋_GB2312" w:eastAsia="仿宋_GB2312" w:cs="仿宋_GB2312"/>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对拍卖企业拍卖前违规进行公告或展示的处罚</w:t>
            </w:r>
          </w:p>
        </w:tc>
        <w:tc>
          <w:tcPr>
            <w:tcW w:w="2389"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修订）第32、33、49条</w:t>
            </w:r>
          </w:p>
        </w:tc>
        <w:tc>
          <w:tcPr>
            <w:tcW w:w="5532"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1.立案责任：</w:t>
            </w:r>
            <w:r>
              <w:rPr>
                <w:rStyle w:val="13"/>
                <w:rFonts w:hint="eastAsia" w:ascii="仿宋_GB2312" w:hAnsi="仿宋_GB2312" w:eastAsia="仿宋_GB2312" w:cs="仿宋_GB2312"/>
                <w:b w:val="0"/>
                <w:bCs w:val="0"/>
                <w:color w:val="auto"/>
                <w:sz w:val="20"/>
                <w:szCs w:val="20"/>
              </w:rPr>
              <w:t>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2.调查责任：</w:t>
            </w:r>
            <w:r>
              <w:rPr>
                <w:rStyle w:val="13"/>
                <w:rFonts w:hint="eastAsia" w:ascii="仿宋_GB2312" w:hAnsi="仿宋_GB2312" w:eastAsia="仿宋_GB2312" w:cs="仿宋_GB2312"/>
                <w:b w:val="0"/>
                <w:bCs w:val="0"/>
                <w:color w:val="auto"/>
                <w:sz w:val="20"/>
                <w:szCs w:val="20"/>
              </w:rPr>
              <w:t>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3.审查责任：</w:t>
            </w:r>
            <w:r>
              <w:rPr>
                <w:rStyle w:val="13"/>
                <w:rFonts w:hint="eastAsia" w:ascii="仿宋_GB2312" w:hAnsi="仿宋_GB2312" w:eastAsia="仿宋_GB2312" w:cs="仿宋_GB2312"/>
                <w:b w:val="0"/>
                <w:bCs w:val="0"/>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4.告知责任：</w:t>
            </w:r>
            <w:r>
              <w:rPr>
                <w:rStyle w:val="13"/>
                <w:rFonts w:hint="eastAsia" w:ascii="仿宋_GB2312" w:hAnsi="仿宋_GB2312" w:eastAsia="仿宋_GB2312" w:cs="仿宋_GB2312"/>
                <w:b w:val="0"/>
                <w:bCs w:val="0"/>
                <w:color w:val="auto"/>
                <w:sz w:val="20"/>
                <w:szCs w:val="20"/>
              </w:rPr>
              <w:t>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5.决定责任：</w:t>
            </w:r>
            <w:r>
              <w:rPr>
                <w:rStyle w:val="13"/>
                <w:rFonts w:hint="eastAsia" w:ascii="仿宋_GB2312" w:hAnsi="仿宋_GB2312" w:eastAsia="仿宋_GB2312" w:cs="仿宋_GB2312"/>
                <w:b w:val="0"/>
                <w:bCs w:val="0"/>
                <w:color w:val="auto"/>
                <w:sz w:val="20"/>
                <w:szCs w:val="20"/>
              </w:rPr>
              <w:t>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6.送达责任：</w:t>
            </w:r>
            <w:r>
              <w:rPr>
                <w:rStyle w:val="13"/>
                <w:rFonts w:hint="eastAsia" w:ascii="仿宋_GB2312" w:hAnsi="仿宋_GB2312" w:eastAsia="仿宋_GB2312" w:cs="仿宋_GB2312"/>
                <w:b w:val="0"/>
                <w:bCs w:val="0"/>
                <w:color w:val="auto"/>
                <w:sz w:val="20"/>
                <w:szCs w:val="20"/>
              </w:rPr>
              <w:t>行政处罚决定书在决定后七日内依照民事诉讼法的有关规定送达当事人。</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7.执行责任：</w:t>
            </w:r>
            <w:r>
              <w:rPr>
                <w:rStyle w:val="13"/>
                <w:rFonts w:hint="eastAsia" w:ascii="仿宋_GB2312" w:hAnsi="仿宋_GB2312" w:eastAsia="仿宋_GB2312" w:cs="仿宋_GB2312"/>
                <w:b w:val="0"/>
                <w:bCs w:val="0"/>
                <w:color w:val="auto"/>
                <w:sz w:val="20"/>
                <w:szCs w:val="20"/>
              </w:rPr>
              <w:t>督促当事人履行生效的行政处罚决定，对逾期不履行的，依照《行政强制法》的规定执行。</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8.</w:t>
            </w:r>
            <w:r>
              <w:rPr>
                <w:rStyle w:val="13"/>
                <w:rFonts w:hint="eastAsia" w:ascii="仿宋_GB2312" w:hAnsi="仿宋_GB2312" w:eastAsia="仿宋_GB2312" w:cs="仿宋_GB2312"/>
                <w:b w:val="0"/>
                <w:bCs w:val="0"/>
                <w:color w:val="auto"/>
                <w:sz w:val="20"/>
                <w:szCs w:val="20"/>
              </w:rPr>
              <w:t>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2021年修正</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rPr>
              <w:t>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63</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《拍卖管理办法》（2004年12月2日商务部令第24号发布，商务部令2015年第2号、</w:t>
            </w:r>
            <w:r>
              <w:rPr>
                <w:rFonts w:hint="eastAsia" w:ascii="仿宋_GB2312" w:hAnsi="仿宋_GB2312" w:eastAsia="仿宋_GB2312" w:cs="仿宋_GB2312"/>
                <w:color w:val="auto"/>
                <w:kern w:val="0"/>
                <w:sz w:val="20"/>
                <w:szCs w:val="20"/>
              </w:rPr>
              <w:t>商务部令2019年第1号</w:t>
            </w:r>
            <w:r>
              <w:rPr>
                <w:rFonts w:hint="eastAsia" w:ascii="仿宋_GB2312" w:hAnsi="仿宋_GB2312" w:eastAsia="仿宋_GB2312" w:cs="仿宋_GB2312"/>
                <w:b w:val="0"/>
                <w:bCs w:val="0"/>
                <w:color w:val="auto"/>
                <w:kern w:val="0"/>
                <w:sz w:val="20"/>
                <w:szCs w:val="20"/>
                <w:lang w:val="en-US" w:eastAsia="zh-CN"/>
              </w:rPr>
              <w:t>修订）第32、33、49条。</w:t>
            </w:r>
          </w:p>
        </w:tc>
        <w:tc>
          <w:tcPr>
            <w:tcW w:w="808"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流通处</w:t>
            </w:r>
          </w:p>
        </w:tc>
        <w:tc>
          <w:tcPr>
            <w:tcW w:w="100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011"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both"/>
              <w:textAlignment w:val="top"/>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rPr>
              <w:t>对违反单用途商业预付卡管理办法（试行）有关规定的处罚</w:t>
            </w:r>
          </w:p>
        </w:tc>
        <w:tc>
          <w:tcPr>
            <w:tcW w:w="2389"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rPr>
              <w:t>单用途商业预付卡管理办法（试行）（商务部〔2012〕9 号令</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第36、37、38条</w:t>
            </w:r>
          </w:p>
        </w:tc>
        <w:tc>
          <w:tcPr>
            <w:tcW w:w="5532"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1.立案责任：</w:t>
            </w:r>
            <w:r>
              <w:rPr>
                <w:rStyle w:val="13"/>
                <w:rFonts w:hint="eastAsia" w:ascii="仿宋_GB2312" w:hAnsi="仿宋_GB2312" w:eastAsia="仿宋_GB2312" w:cs="仿宋_GB2312"/>
                <w:b w:val="0"/>
                <w:bCs w:val="0"/>
                <w:color w:val="auto"/>
                <w:sz w:val="20"/>
                <w:szCs w:val="20"/>
              </w:rPr>
              <w:t>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2.调查责任：</w:t>
            </w:r>
            <w:r>
              <w:rPr>
                <w:rStyle w:val="13"/>
                <w:rFonts w:hint="eastAsia" w:ascii="仿宋_GB2312" w:hAnsi="仿宋_GB2312" w:eastAsia="仿宋_GB2312" w:cs="仿宋_GB2312"/>
                <w:b w:val="0"/>
                <w:bCs w:val="0"/>
                <w:color w:val="auto"/>
                <w:sz w:val="20"/>
                <w:szCs w:val="20"/>
              </w:rPr>
              <w:t>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3.审查责任：</w:t>
            </w:r>
            <w:r>
              <w:rPr>
                <w:rStyle w:val="13"/>
                <w:rFonts w:hint="eastAsia" w:ascii="仿宋_GB2312" w:hAnsi="仿宋_GB2312" w:eastAsia="仿宋_GB2312" w:cs="仿宋_GB2312"/>
                <w:b w:val="0"/>
                <w:bCs w:val="0"/>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4.告知责任：</w:t>
            </w:r>
            <w:r>
              <w:rPr>
                <w:rStyle w:val="13"/>
                <w:rFonts w:hint="eastAsia" w:ascii="仿宋_GB2312" w:hAnsi="仿宋_GB2312" w:eastAsia="仿宋_GB2312" w:cs="仿宋_GB2312"/>
                <w:b w:val="0"/>
                <w:bCs w:val="0"/>
                <w:color w:val="auto"/>
                <w:sz w:val="20"/>
                <w:szCs w:val="20"/>
              </w:rPr>
              <w:t>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5.决定责任：</w:t>
            </w:r>
            <w:r>
              <w:rPr>
                <w:rStyle w:val="13"/>
                <w:rFonts w:hint="eastAsia" w:ascii="仿宋_GB2312" w:hAnsi="仿宋_GB2312" w:eastAsia="仿宋_GB2312" w:cs="仿宋_GB2312"/>
                <w:b w:val="0"/>
                <w:bCs w:val="0"/>
                <w:color w:val="auto"/>
                <w:sz w:val="20"/>
                <w:szCs w:val="20"/>
              </w:rPr>
              <w:t>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6.送达责任：</w:t>
            </w:r>
            <w:r>
              <w:rPr>
                <w:rStyle w:val="13"/>
                <w:rFonts w:hint="eastAsia" w:ascii="仿宋_GB2312" w:hAnsi="仿宋_GB2312" w:eastAsia="仿宋_GB2312" w:cs="仿宋_GB2312"/>
                <w:b w:val="0"/>
                <w:bCs w:val="0"/>
                <w:color w:val="auto"/>
                <w:sz w:val="20"/>
                <w:szCs w:val="20"/>
              </w:rPr>
              <w:t>行政处罚决定书在决定后七日内依照民事诉讼法的有关规定送达当事人。</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7.执行责任：</w:t>
            </w:r>
            <w:r>
              <w:rPr>
                <w:rStyle w:val="13"/>
                <w:rFonts w:hint="eastAsia" w:ascii="仿宋_GB2312" w:hAnsi="仿宋_GB2312" w:eastAsia="仿宋_GB2312" w:cs="仿宋_GB2312"/>
                <w:b w:val="0"/>
                <w:bCs w:val="0"/>
                <w:color w:val="auto"/>
                <w:sz w:val="20"/>
                <w:szCs w:val="20"/>
              </w:rPr>
              <w:t>督促当事人履行生效的行政处罚决定，对逾期不履行的，依照《行政强制法》的规定执行。</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8.</w:t>
            </w:r>
            <w:r>
              <w:rPr>
                <w:rStyle w:val="13"/>
                <w:rFonts w:hint="eastAsia" w:ascii="仿宋_GB2312" w:hAnsi="仿宋_GB2312" w:eastAsia="仿宋_GB2312" w:cs="仿宋_GB2312"/>
                <w:b w:val="0"/>
                <w:bCs w:val="0"/>
                <w:color w:val="auto"/>
                <w:sz w:val="20"/>
                <w:szCs w:val="20"/>
              </w:rPr>
              <w:t>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2021年修正</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rPr>
              <w:t>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63</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rPr>
              <w:t>单用途商业预付卡管理办法（试行）（商务部〔2012〕9 号令</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第36、37、38条。</w:t>
            </w:r>
          </w:p>
        </w:tc>
        <w:tc>
          <w:tcPr>
            <w:tcW w:w="808" w:type="dxa"/>
            <w:noWrap/>
            <w:vAlign w:val="center"/>
          </w:tcPr>
          <w:p>
            <w:pPr>
              <w:jc w:val="center"/>
              <w:rPr>
                <w:b w:val="0"/>
                <w:bCs w:val="0"/>
                <w:color w:val="auto"/>
              </w:rPr>
            </w:pPr>
            <w:r>
              <w:rPr>
                <w:rFonts w:ascii="Times New Roman" w:hAnsi="Times New Roman" w:eastAsia="仿宋_GB2312" w:cs="Times New Roman"/>
                <w:b w:val="0"/>
                <w:bCs w:val="0"/>
                <w:color w:val="auto"/>
                <w:kern w:val="0"/>
                <w:sz w:val="20"/>
                <w:szCs w:val="20"/>
              </w:rPr>
              <w:t>市场体系建设处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919"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both"/>
              <w:textAlignment w:val="top"/>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对企业以提供虚假材料等不正当手段办理备案并取得《企业境外投资证书》的处罚</w:t>
            </w:r>
          </w:p>
        </w:tc>
        <w:tc>
          <w:tcPr>
            <w:tcW w:w="2389" w:type="dxa"/>
            <w:noWrap/>
            <w:vAlign w:val="center"/>
          </w:tcPr>
          <w:p>
            <w:pPr>
              <w:widowControl/>
              <w:wordWrap/>
              <w:adjustRightInd/>
              <w:snapToGrid/>
              <w:spacing w:before="0" w:beforeAutospacing="0" w:after="0" w:afterAutospacing="0" w:line="240" w:lineRule="exact"/>
              <w:ind w:left="0" w:right="0"/>
              <w:jc w:val="both"/>
              <w:textAlignment w:val="top"/>
              <w:rPr>
                <w:rFonts w:hint="eastAsia" w:ascii="仿宋_GB2312" w:hAnsi="仿宋_GB2312" w:eastAsia="仿宋_GB2312" w:cs="仿宋_GB2312"/>
                <w:b w:val="0"/>
                <w:bCs w:val="0"/>
                <w:color w:val="auto"/>
                <w:kern w:val="0"/>
                <w:sz w:val="20"/>
                <w:szCs w:val="20"/>
                <w:lang w:val="en-US" w:eastAsia="zh-CN"/>
              </w:rPr>
            </w:pPr>
            <w:r>
              <w:rPr>
                <w:rStyle w:val="13"/>
                <w:rFonts w:hint="eastAsia" w:ascii="仿宋_GB2312" w:hAnsi="仿宋_GB2312" w:eastAsia="仿宋_GB2312" w:cs="仿宋_GB2312"/>
                <w:b w:val="0"/>
                <w:bCs w:val="0"/>
                <w:color w:val="auto"/>
                <w:sz w:val="20"/>
                <w:szCs w:val="20"/>
              </w:rPr>
              <w:t>《境外投资管理办法》（商务部令2014年第3号）</w:t>
            </w:r>
            <w:r>
              <w:rPr>
                <w:rStyle w:val="13"/>
                <w:rFonts w:hint="eastAsia" w:ascii="仿宋_GB2312" w:hAnsi="仿宋_GB2312" w:eastAsia="仿宋_GB2312" w:cs="仿宋_GB2312"/>
                <w:b w:val="0"/>
                <w:bCs w:val="0"/>
                <w:color w:val="auto"/>
                <w:sz w:val="20"/>
                <w:szCs w:val="20"/>
                <w:lang w:val="en-US" w:eastAsia="zh-CN"/>
              </w:rPr>
              <w:t>第28条</w:t>
            </w:r>
          </w:p>
        </w:tc>
        <w:tc>
          <w:tcPr>
            <w:tcW w:w="5532"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1.立案责任：</w:t>
            </w:r>
            <w:r>
              <w:rPr>
                <w:rStyle w:val="13"/>
                <w:rFonts w:hint="eastAsia" w:ascii="仿宋_GB2312" w:hAnsi="仿宋_GB2312" w:eastAsia="仿宋_GB2312" w:cs="仿宋_GB2312"/>
                <w:b w:val="0"/>
                <w:bCs w:val="0"/>
                <w:color w:val="auto"/>
                <w:sz w:val="20"/>
                <w:szCs w:val="20"/>
              </w:rPr>
              <w:t>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2.调查责任：</w:t>
            </w:r>
            <w:r>
              <w:rPr>
                <w:rStyle w:val="13"/>
                <w:rFonts w:hint="eastAsia" w:ascii="仿宋_GB2312" w:hAnsi="仿宋_GB2312" w:eastAsia="仿宋_GB2312" w:cs="仿宋_GB2312"/>
                <w:b w:val="0"/>
                <w:bCs w:val="0"/>
                <w:color w:val="auto"/>
                <w:sz w:val="20"/>
                <w:szCs w:val="20"/>
              </w:rPr>
              <w:t>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3.审查责任：</w:t>
            </w:r>
            <w:r>
              <w:rPr>
                <w:rStyle w:val="13"/>
                <w:rFonts w:hint="eastAsia" w:ascii="仿宋_GB2312" w:hAnsi="仿宋_GB2312" w:eastAsia="仿宋_GB2312" w:cs="仿宋_GB2312"/>
                <w:b w:val="0"/>
                <w:bCs w:val="0"/>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4.告知责任：</w:t>
            </w:r>
            <w:r>
              <w:rPr>
                <w:rStyle w:val="13"/>
                <w:rFonts w:hint="eastAsia" w:ascii="仿宋_GB2312" w:hAnsi="仿宋_GB2312" w:eastAsia="仿宋_GB2312" w:cs="仿宋_GB2312"/>
                <w:b w:val="0"/>
                <w:bCs w:val="0"/>
                <w:color w:val="auto"/>
                <w:sz w:val="20"/>
                <w:szCs w:val="20"/>
              </w:rPr>
              <w:t>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5.决定责任：</w:t>
            </w:r>
            <w:r>
              <w:rPr>
                <w:rStyle w:val="13"/>
                <w:rFonts w:hint="eastAsia" w:ascii="仿宋_GB2312" w:hAnsi="仿宋_GB2312" w:eastAsia="仿宋_GB2312" w:cs="仿宋_GB2312"/>
                <w:b w:val="0"/>
                <w:bCs w:val="0"/>
                <w:color w:val="auto"/>
                <w:sz w:val="20"/>
                <w:szCs w:val="20"/>
              </w:rPr>
              <w:t>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6.送达责任：</w:t>
            </w:r>
            <w:r>
              <w:rPr>
                <w:rStyle w:val="13"/>
                <w:rFonts w:hint="eastAsia" w:ascii="仿宋_GB2312" w:hAnsi="仿宋_GB2312" w:eastAsia="仿宋_GB2312" w:cs="仿宋_GB2312"/>
                <w:b w:val="0"/>
                <w:bCs w:val="0"/>
                <w:color w:val="auto"/>
                <w:sz w:val="20"/>
                <w:szCs w:val="20"/>
              </w:rPr>
              <w:t>行政处罚决定书在决定后七日内依照民事诉讼法的有关规定送达当事人。</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7.执行责任：</w:t>
            </w:r>
            <w:r>
              <w:rPr>
                <w:rStyle w:val="13"/>
                <w:rFonts w:hint="eastAsia" w:ascii="仿宋_GB2312" w:hAnsi="仿宋_GB2312" w:eastAsia="仿宋_GB2312" w:cs="仿宋_GB2312"/>
                <w:b w:val="0"/>
                <w:bCs w:val="0"/>
                <w:color w:val="auto"/>
                <w:sz w:val="20"/>
                <w:szCs w:val="20"/>
              </w:rPr>
              <w:t>督促当事人履行生效的行政处罚决定，对逾期不履行的，依照《行政强制法》的规定执行。</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8.</w:t>
            </w:r>
            <w:r>
              <w:rPr>
                <w:rStyle w:val="13"/>
                <w:rFonts w:hint="eastAsia" w:ascii="仿宋_GB2312" w:hAnsi="仿宋_GB2312" w:eastAsia="仿宋_GB2312" w:cs="仿宋_GB2312"/>
                <w:b w:val="0"/>
                <w:bCs w:val="0"/>
                <w:color w:val="auto"/>
                <w:sz w:val="20"/>
                <w:szCs w:val="20"/>
              </w:rPr>
              <w:t>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2021年修正</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rPr>
              <w:t>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63</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val="en-US" w:eastAsia="zh-CN"/>
              </w:rPr>
            </w:pPr>
            <w:r>
              <w:rPr>
                <w:rStyle w:val="13"/>
                <w:rFonts w:hint="eastAsia" w:ascii="仿宋_GB2312" w:hAnsi="仿宋_GB2312" w:eastAsia="仿宋_GB2312" w:cs="仿宋_GB2312"/>
                <w:b w:val="0"/>
                <w:bCs w:val="0"/>
                <w:color w:val="auto"/>
                <w:sz w:val="20"/>
                <w:szCs w:val="20"/>
              </w:rPr>
              <w:t>《境外投资管理办法》（商务部令2014年第3号）</w:t>
            </w:r>
            <w:r>
              <w:rPr>
                <w:rStyle w:val="13"/>
                <w:rFonts w:hint="eastAsia" w:ascii="仿宋_GB2312" w:hAnsi="仿宋_GB2312" w:eastAsia="仿宋_GB2312" w:cs="仿宋_GB2312"/>
                <w:b w:val="0"/>
                <w:bCs w:val="0"/>
                <w:color w:val="auto"/>
                <w:sz w:val="20"/>
                <w:szCs w:val="20"/>
                <w:lang w:val="en-US" w:eastAsia="zh-CN"/>
              </w:rPr>
              <w:t>第28条。</w:t>
            </w: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Style w:val="13"/>
                <w:rFonts w:ascii="Times New Roman" w:hAnsi="Times New Roman" w:eastAsia="仿宋_GB2312" w:cs="Times New Roman"/>
                <w:b w:val="0"/>
                <w:bCs w:val="0"/>
                <w:color w:val="auto"/>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953"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对企业伪造、涂改、出租、出借或以任何其他形式转让《企业境外投资证书》的处罚</w:t>
            </w:r>
          </w:p>
        </w:tc>
        <w:tc>
          <w:tcPr>
            <w:tcW w:w="2389" w:type="dxa"/>
            <w:noWrap/>
            <w:vAlign w:val="center"/>
          </w:tcPr>
          <w:p>
            <w:pPr>
              <w:widowControl/>
              <w:wordWrap/>
              <w:adjustRightInd/>
              <w:snapToGrid/>
              <w:spacing w:before="0" w:beforeAutospacing="0" w:after="0" w:afterAutospacing="0" w:line="240" w:lineRule="exact"/>
              <w:ind w:left="0" w:right="0"/>
              <w:jc w:val="both"/>
              <w:textAlignment w:val="top"/>
              <w:rPr>
                <w:rFonts w:hint="eastAsia" w:ascii="仿宋_GB2312" w:hAnsi="仿宋_GB2312" w:eastAsia="仿宋_GB2312" w:cs="仿宋_GB2312"/>
                <w:b w:val="0"/>
                <w:bCs w:val="0"/>
                <w:color w:val="auto"/>
                <w:kern w:val="0"/>
                <w:sz w:val="20"/>
                <w:szCs w:val="20"/>
                <w:lang w:val="en-US" w:eastAsia="zh-CN"/>
              </w:rPr>
            </w:pPr>
            <w:r>
              <w:rPr>
                <w:rStyle w:val="13"/>
                <w:rFonts w:hint="eastAsia" w:ascii="仿宋_GB2312" w:hAnsi="仿宋_GB2312" w:eastAsia="仿宋_GB2312" w:cs="仿宋_GB2312"/>
                <w:b w:val="0"/>
                <w:bCs w:val="0"/>
                <w:color w:val="auto"/>
                <w:sz w:val="20"/>
                <w:szCs w:val="20"/>
              </w:rPr>
              <w:t>《境外投资管理办法》（商务部令2014年第3号）</w:t>
            </w:r>
            <w:r>
              <w:rPr>
                <w:rStyle w:val="13"/>
                <w:rFonts w:hint="eastAsia" w:ascii="仿宋_GB2312" w:hAnsi="仿宋_GB2312" w:eastAsia="仿宋_GB2312" w:cs="仿宋_GB2312"/>
                <w:b w:val="0"/>
                <w:bCs w:val="0"/>
                <w:color w:val="auto"/>
                <w:sz w:val="20"/>
                <w:szCs w:val="20"/>
                <w:lang w:val="en-US" w:eastAsia="zh-CN"/>
              </w:rPr>
              <w:t>第31条</w:t>
            </w:r>
          </w:p>
        </w:tc>
        <w:tc>
          <w:tcPr>
            <w:tcW w:w="5532"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1.立案责任：</w:t>
            </w:r>
            <w:r>
              <w:rPr>
                <w:rStyle w:val="13"/>
                <w:rFonts w:hint="eastAsia" w:ascii="仿宋_GB2312" w:hAnsi="仿宋_GB2312" w:eastAsia="仿宋_GB2312" w:cs="仿宋_GB2312"/>
                <w:b w:val="0"/>
                <w:bCs w:val="0"/>
                <w:color w:val="auto"/>
                <w:sz w:val="20"/>
                <w:szCs w:val="20"/>
              </w:rPr>
              <w:t>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2.调查责任：</w:t>
            </w:r>
            <w:r>
              <w:rPr>
                <w:rStyle w:val="13"/>
                <w:rFonts w:hint="eastAsia" w:ascii="仿宋_GB2312" w:hAnsi="仿宋_GB2312" w:eastAsia="仿宋_GB2312" w:cs="仿宋_GB2312"/>
                <w:b w:val="0"/>
                <w:bCs w:val="0"/>
                <w:color w:val="auto"/>
                <w:sz w:val="20"/>
                <w:szCs w:val="20"/>
              </w:rPr>
              <w:t>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3.审查责任：</w:t>
            </w:r>
            <w:r>
              <w:rPr>
                <w:rStyle w:val="13"/>
                <w:rFonts w:hint="eastAsia" w:ascii="仿宋_GB2312" w:hAnsi="仿宋_GB2312" w:eastAsia="仿宋_GB2312" w:cs="仿宋_GB2312"/>
                <w:b w:val="0"/>
                <w:bCs w:val="0"/>
                <w:color w:val="auto"/>
                <w:sz w:val="20"/>
                <w:szCs w:val="20"/>
              </w:rPr>
              <w:t>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4.告知责任：</w:t>
            </w:r>
            <w:r>
              <w:rPr>
                <w:rStyle w:val="13"/>
                <w:rFonts w:hint="eastAsia" w:ascii="仿宋_GB2312" w:hAnsi="仿宋_GB2312" w:eastAsia="仿宋_GB2312" w:cs="仿宋_GB2312"/>
                <w:b w:val="0"/>
                <w:bCs w:val="0"/>
                <w:color w:val="auto"/>
                <w:sz w:val="20"/>
                <w:szCs w:val="20"/>
              </w:rPr>
              <w:t>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5.决定责任：</w:t>
            </w:r>
            <w:r>
              <w:rPr>
                <w:rStyle w:val="13"/>
                <w:rFonts w:hint="eastAsia" w:ascii="仿宋_GB2312" w:hAnsi="仿宋_GB2312" w:eastAsia="仿宋_GB2312" w:cs="仿宋_GB2312"/>
                <w:b w:val="0"/>
                <w:bCs w:val="0"/>
                <w:color w:val="auto"/>
                <w:sz w:val="20"/>
                <w:szCs w:val="20"/>
              </w:rPr>
              <w:t>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6.送达责任：</w:t>
            </w:r>
            <w:r>
              <w:rPr>
                <w:rStyle w:val="13"/>
                <w:rFonts w:hint="eastAsia" w:ascii="仿宋_GB2312" w:hAnsi="仿宋_GB2312" w:eastAsia="仿宋_GB2312" w:cs="仿宋_GB2312"/>
                <w:b w:val="0"/>
                <w:bCs w:val="0"/>
                <w:color w:val="auto"/>
                <w:sz w:val="20"/>
                <w:szCs w:val="20"/>
              </w:rPr>
              <w:t>行政处罚决定书在决定后七日内依照民事诉讼法的有关规定送达当事人。</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7.执行责任：</w:t>
            </w:r>
            <w:r>
              <w:rPr>
                <w:rStyle w:val="13"/>
                <w:rFonts w:hint="eastAsia" w:ascii="仿宋_GB2312" w:hAnsi="仿宋_GB2312" w:eastAsia="仿宋_GB2312" w:cs="仿宋_GB2312"/>
                <w:b w:val="0"/>
                <w:bCs w:val="0"/>
                <w:color w:val="auto"/>
                <w:sz w:val="20"/>
                <w:szCs w:val="20"/>
              </w:rPr>
              <w:t>督促当事人履行生效的行政处罚决定，对逾期不履行的，依照《行政强制法》的规定执行。</w:t>
            </w:r>
            <w:r>
              <w:rPr>
                <w:rStyle w:val="13"/>
                <w:rFonts w:hint="eastAsia" w:ascii="仿宋_GB2312" w:hAnsi="仿宋_GB2312" w:eastAsia="仿宋_GB2312" w:cs="仿宋_GB2312"/>
                <w:b w:val="0"/>
                <w:bCs w:val="0"/>
                <w:color w:val="auto"/>
                <w:sz w:val="20"/>
                <w:szCs w:val="20"/>
              </w:rPr>
              <w:br w:type="textWrapping"/>
            </w:r>
            <w:r>
              <w:rPr>
                <w:rFonts w:hint="eastAsia" w:ascii="仿宋_GB2312" w:hAnsi="仿宋_GB2312" w:eastAsia="仿宋_GB2312" w:cs="仿宋_GB2312"/>
                <w:b w:val="0"/>
                <w:bCs w:val="0"/>
                <w:color w:val="auto"/>
                <w:kern w:val="0"/>
                <w:sz w:val="20"/>
                <w:szCs w:val="20"/>
              </w:rPr>
              <w:t>8.</w:t>
            </w:r>
            <w:r>
              <w:rPr>
                <w:rStyle w:val="13"/>
                <w:rFonts w:hint="eastAsia" w:ascii="仿宋_GB2312" w:hAnsi="仿宋_GB2312" w:eastAsia="仿宋_GB2312" w:cs="仿宋_GB2312"/>
                <w:b w:val="0"/>
                <w:bCs w:val="0"/>
                <w:color w:val="auto"/>
                <w:sz w:val="20"/>
                <w:szCs w:val="20"/>
              </w:rPr>
              <w:t>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2021年修正</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rPr>
              <w:t>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63</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p>
          <w:p>
            <w:pPr>
              <w:widowControl/>
              <w:wordWrap/>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color w:val="auto"/>
                <w:kern w:val="0"/>
                <w:sz w:val="20"/>
                <w:szCs w:val="20"/>
                <w:lang w:val="en-US" w:eastAsia="zh-CN"/>
              </w:rPr>
            </w:pPr>
            <w:r>
              <w:rPr>
                <w:rStyle w:val="13"/>
                <w:rFonts w:hint="eastAsia" w:ascii="仿宋_GB2312" w:hAnsi="仿宋_GB2312" w:eastAsia="仿宋_GB2312" w:cs="仿宋_GB2312"/>
                <w:b w:val="0"/>
                <w:bCs w:val="0"/>
                <w:color w:val="auto"/>
                <w:sz w:val="20"/>
                <w:szCs w:val="20"/>
              </w:rPr>
              <w:t>《境外投资管理办法》（商务部令2014年第3号）</w:t>
            </w:r>
            <w:r>
              <w:rPr>
                <w:rStyle w:val="13"/>
                <w:rFonts w:hint="eastAsia" w:ascii="仿宋_GB2312" w:hAnsi="仿宋_GB2312" w:eastAsia="仿宋_GB2312" w:cs="仿宋_GB2312"/>
                <w:b w:val="0"/>
                <w:bCs w:val="0"/>
                <w:color w:val="auto"/>
                <w:sz w:val="20"/>
                <w:szCs w:val="20"/>
                <w:lang w:val="en-US" w:eastAsia="zh-CN"/>
              </w:rPr>
              <w:t>第31条。</w:t>
            </w: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Style w:val="13"/>
                <w:rFonts w:ascii="Times New Roman" w:hAnsi="Times New Roman" w:eastAsia="仿宋_GB2312" w:cs="Times New Roman"/>
                <w:b w:val="0"/>
                <w:bCs w:val="0"/>
                <w:color w:val="auto"/>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965"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val="0"/>
                <w:bCs w:val="0"/>
                <w:color w:val="auto"/>
                <w:kern w:val="0"/>
                <w:sz w:val="20"/>
                <w:szCs w:val="20"/>
                <w:lang w:val="en-US" w:eastAsia="zh-CN"/>
              </w:rPr>
            </w:pPr>
            <w:r>
              <w:rPr>
                <w:rStyle w:val="13"/>
                <w:rFonts w:ascii="Times New Roman" w:hAnsi="Times New Roman" w:eastAsia="仿宋_GB2312" w:cs="Times New Roman"/>
                <w:b w:val="0"/>
                <w:bCs w:val="0"/>
                <w:color w:val="auto"/>
                <w:kern w:val="2"/>
                <w:sz w:val="20"/>
                <w:szCs w:val="20"/>
                <w:lang w:val="en-US" w:eastAsia="zh-CN"/>
              </w:rPr>
              <w:t>对《对外承包工程管理条例》第20条规定行为的处罚</w:t>
            </w:r>
          </w:p>
        </w:tc>
        <w:tc>
          <w:tcPr>
            <w:tcW w:w="2389"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kern w:val="2"/>
                <w:sz w:val="20"/>
                <w:szCs w:val="20"/>
                <w:lang w:val="en-US" w:eastAsia="zh-CN"/>
              </w:rPr>
              <w:t>《对外承包工程管理条例》（中华人民共和国国务院令第527号）（2017年3月国务院令第676号修订）第20条</w:t>
            </w:r>
          </w:p>
        </w:tc>
        <w:tc>
          <w:tcPr>
            <w:tcW w:w="5532"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6.送达责任：行政处罚决定书在决定后七日内依照民事诉讼法的有关规定送达当事人。</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7.执行责任：督促当事人履行生效的行政处罚决定，对逾期不履行的，依照《行政强制法》的规定执行。</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8.法律法规规章文件规定应履行的其他责任。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rPr>
              <w:t>《行政处罚法》第1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r>
              <w:rPr>
                <w:rStyle w:val="13"/>
                <w:rFonts w:hint="eastAsia" w:ascii="仿宋_GB2312" w:hAnsi="仿宋_GB2312" w:eastAsia="仿宋_GB2312" w:cs="仿宋_GB2312"/>
                <w:b w:val="0"/>
                <w:bCs w:val="0"/>
                <w:color w:val="auto"/>
                <w:kern w:val="2"/>
                <w:sz w:val="20"/>
                <w:szCs w:val="20"/>
                <w:lang w:val="en-US" w:eastAsia="zh-CN"/>
              </w:rPr>
              <w:t>《对外承包工程管理条例》（中华人民共和国国务院令第527号）（2017年3月国务院令第676号修订）第20条。</w:t>
            </w:r>
          </w:p>
        </w:tc>
        <w:tc>
          <w:tcPr>
            <w:tcW w:w="80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Style w:val="13"/>
                <w:rFonts w:ascii="Times New Roman" w:hAnsi="Times New Roman" w:eastAsia="仿宋_GB2312" w:cs="Times New Roman"/>
                <w:b w:val="0"/>
                <w:bCs w:val="0"/>
                <w:color w:val="auto"/>
                <w:kern w:val="2"/>
                <w:sz w:val="20"/>
                <w:szCs w:val="20"/>
                <w:lang w:val="en-US" w:eastAsia="zh-CN"/>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8"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val="0"/>
                <w:bCs w:val="0"/>
                <w:color w:val="auto"/>
                <w:kern w:val="0"/>
                <w:sz w:val="20"/>
                <w:szCs w:val="20"/>
                <w:lang w:val="en-US" w:eastAsia="zh-CN"/>
              </w:rPr>
            </w:pPr>
            <w:r>
              <w:rPr>
                <w:rStyle w:val="13"/>
                <w:rFonts w:ascii="Times New Roman" w:hAnsi="Times New Roman" w:eastAsia="仿宋_GB2312" w:cs="Times New Roman"/>
                <w:b w:val="0"/>
                <w:bCs w:val="0"/>
                <w:color w:val="auto"/>
                <w:kern w:val="2"/>
                <w:sz w:val="20"/>
                <w:szCs w:val="20"/>
                <w:lang w:val="en-US" w:eastAsia="zh-CN"/>
              </w:rPr>
              <w:t>对《对外承包工程管理条例》第21条规定行为的处罚</w:t>
            </w:r>
          </w:p>
        </w:tc>
        <w:tc>
          <w:tcPr>
            <w:tcW w:w="2389"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kern w:val="2"/>
                <w:sz w:val="20"/>
                <w:szCs w:val="20"/>
                <w:lang w:val="en-US" w:eastAsia="zh-CN"/>
              </w:rPr>
              <w:t>《对外承包工程管理条例》（中华人民共和国国务院令第527号）（2017年3月国务院令第676号修订）第21条</w:t>
            </w:r>
          </w:p>
        </w:tc>
        <w:tc>
          <w:tcPr>
            <w:tcW w:w="5532"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6.送达责任：行政处罚决定书在决定后七日内依照民事诉讼法的有关规定送达当事人。</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7.执行责任：督促当事人履行生效的行政处罚决定，对逾期不履行的，依照《行政强制法》的规定执行。</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8.法律法规规章文件规定应履行的其他责任。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《行政处罚法》第1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r>
              <w:rPr>
                <w:rStyle w:val="13"/>
                <w:rFonts w:hint="eastAsia" w:ascii="仿宋_GB2312" w:hAnsi="仿宋_GB2312" w:eastAsia="仿宋_GB2312" w:cs="仿宋_GB2312"/>
                <w:b w:val="0"/>
                <w:bCs w:val="0"/>
                <w:color w:val="auto"/>
                <w:kern w:val="2"/>
                <w:sz w:val="20"/>
                <w:szCs w:val="20"/>
                <w:lang w:val="en-US" w:eastAsia="zh-CN"/>
              </w:rPr>
              <w:t>《对外承包工程管理条例》（中华人民共和国国务院令第527号）（2017年3月国务院令第676号修订）第21条。</w:t>
            </w:r>
          </w:p>
        </w:tc>
        <w:tc>
          <w:tcPr>
            <w:tcW w:w="80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Style w:val="13"/>
                <w:rFonts w:ascii="Times New Roman" w:hAnsi="Times New Roman" w:eastAsia="仿宋_GB2312" w:cs="Times New Roman"/>
                <w:b w:val="0"/>
                <w:bCs w:val="0"/>
                <w:color w:val="auto"/>
                <w:kern w:val="2"/>
                <w:sz w:val="20"/>
                <w:szCs w:val="20"/>
                <w:lang w:val="en-US" w:eastAsia="zh-CN"/>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999"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val="0"/>
                <w:bCs w:val="0"/>
                <w:i w:val="0"/>
                <w:color w:val="auto"/>
                <w:kern w:val="0"/>
                <w:sz w:val="20"/>
                <w:szCs w:val="20"/>
                <w:u w:val="none"/>
                <w:lang w:val="en-US" w:eastAsia="zh-CN"/>
              </w:rPr>
            </w:pPr>
            <w:r>
              <w:rPr>
                <w:rStyle w:val="13"/>
                <w:rFonts w:ascii="Times New Roman" w:hAnsi="Times New Roman" w:eastAsia="仿宋_GB2312" w:cs="Times New Roman"/>
                <w:b w:val="0"/>
                <w:bCs w:val="0"/>
                <w:color w:val="auto"/>
                <w:kern w:val="2"/>
                <w:sz w:val="20"/>
                <w:szCs w:val="20"/>
                <w:lang w:val="en-US" w:eastAsia="zh-CN"/>
              </w:rPr>
              <w:t>对《对外承包工程管理条例》第22条规定行为的处罚</w:t>
            </w:r>
          </w:p>
        </w:tc>
        <w:tc>
          <w:tcPr>
            <w:tcW w:w="2389"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val="en-US" w:eastAsia="zh-CN"/>
              </w:rPr>
            </w:pPr>
            <w:r>
              <w:rPr>
                <w:rStyle w:val="13"/>
                <w:rFonts w:hint="eastAsia" w:ascii="仿宋_GB2312" w:hAnsi="仿宋_GB2312" w:eastAsia="仿宋_GB2312" w:cs="仿宋_GB2312"/>
                <w:b w:val="0"/>
                <w:bCs w:val="0"/>
                <w:color w:val="auto"/>
                <w:kern w:val="2"/>
                <w:sz w:val="20"/>
                <w:szCs w:val="20"/>
                <w:lang w:val="en-US" w:eastAsia="zh-CN"/>
              </w:rPr>
              <w:t>《对外承包工程管理条例》（中华人民共和国国务院令第527号）（2017年3月国务院令第676号修订）第22条</w:t>
            </w:r>
          </w:p>
        </w:tc>
        <w:tc>
          <w:tcPr>
            <w:tcW w:w="5532"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6.送达责任：行政处罚决定书在决定后七日内依照民事诉讼法的有关规定送达当事人。</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7.执行责任：督促当事人履行生效的行政处罚决定，对逾期不履行的，依照《行政强制法》的规定执行。</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8.法律法规规章文件规定应履行的其他责任。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r>
              <w:rPr>
                <w:rStyle w:val="13"/>
                <w:rFonts w:hint="eastAsia" w:ascii="仿宋_GB2312" w:hAnsi="仿宋_GB2312" w:eastAsia="仿宋_GB2312" w:cs="仿宋_GB2312"/>
                <w:b w:val="0"/>
                <w:bCs w:val="0"/>
                <w:color w:val="auto"/>
                <w:kern w:val="2"/>
                <w:sz w:val="20"/>
                <w:szCs w:val="20"/>
                <w:lang w:val="en-US" w:eastAsia="zh-CN"/>
              </w:rPr>
              <w:t>对外承包工程管理条例》（中华人民共和国国务院令第527号）（2017年3月国务院令第676号修订）第22条。</w:t>
            </w:r>
          </w:p>
        </w:tc>
        <w:tc>
          <w:tcPr>
            <w:tcW w:w="80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r>
              <w:rPr>
                <w:rStyle w:val="13"/>
                <w:rFonts w:ascii="Times New Roman" w:hAnsi="Times New Roman" w:eastAsia="仿宋_GB2312" w:cs="Times New Roman"/>
                <w:b w:val="0"/>
                <w:bCs w:val="0"/>
                <w:color w:val="auto"/>
                <w:kern w:val="2"/>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Style w:val="13"/>
                <w:rFonts w:ascii="Times New Roman" w:hAnsi="Times New Roman" w:eastAsia="仿宋_GB2312" w:cs="Times New Roman"/>
                <w:b w:val="0"/>
                <w:bCs w:val="0"/>
                <w:color w:val="auto"/>
                <w:kern w:val="2"/>
                <w:sz w:val="20"/>
                <w:szCs w:val="20"/>
                <w:lang w:val="en-US" w:eastAsia="zh-CN"/>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953"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eastAsia="zh-CN"/>
              </w:rPr>
              <w:t>行政处罚</w:t>
            </w:r>
          </w:p>
        </w:tc>
        <w:tc>
          <w:tcPr>
            <w:tcW w:w="1246" w:type="dxa"/>
            <w:noWrap/>
            <w:vAlign w:val="center"/>
          </w:tcPr>
          <w:p>
            <w:pPr>
              <w:widowControl/>
              <w:wordWrap/>
              <w:adjustRightInd/>
              <w:snapToGrid/>
              <w:spacing w:before="0" w:beforeAutospacing="0" w:after="0" w:afterAutospacing="0" w:line="240" w:lineRule="exact"/>
              <w:ind w:left="0" w:right="0"/>
              <w:jc w:val="both"/>
              <w:textAlignment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对《对外承包工程管理条例》第23条规定行为的处罚</w:t>
            </w:r>
          </w:p>
        </w:tc>
        <w:tc>
          <w:tcPr>
            <w:tcW w:w="2389"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kern w:val="2"/>
                <w:sz w:val="20"/>
                <w:szCs w:val="20"/>
                <w:lang w:val="en-US" w:eastAsia="zh-CN"/>
              </w:rPr>
              <w:t>《对外承包工程管理条例》（中华人民共和国国务院令第527号）（2017年3月国务院令第676号修订）第23条</w:t>
            </w:r>
          </w:p>
        </w:tc>
        <w:tc>
          <w:tcPr>
            <w:tcW w:w="5532"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6.送达责任：行政处罚决定书在决定后七日内依照民事诉讼法的有关规定送达当事人。</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7.执行责任：督促当事人履行生效的行政处罚决定，对逾期不履行的，依照《行政强制法》的规定执行。</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8.法律法规规章文件规定应履行的其他责任。</w:t>
            </w:r>
          </w:p>
        </w:tc>
        <w:tc>
          <w:tcPr>
            <w:tcW w:w="2337" w:type="dxa"/>
            <w:noWrap/>
            <w:vAlign w:val="center"/>
          </w:tcPr>
          <w:p>
            <w:pPr>
              <w:widowControl/>
              <w:wordWrap/>
              <w:adjustRightInd/>
              <w:snapToGrid/>
              <w:spacing w:before="0" w:beforeAutospacing="0" w:after="0" w:afterAutospacing="0" w:line="240" w:lineRule="exact"/>
              <w:ind w:left="0" w:right="0"/>
              <w:jc w:val="both"/>
              <w:rPr>
                <w:rFonts w:hint="eastAsia" w:ascii="仿宋_GB2312" w:hAnsi="仿宋_GB2312" w:eastAsia="仿宋_GB2312" w:cs="仿宋_GB2312"/>
                <w:b w:val="0"/>
                <w:bCs w:val="0"/>
                <w:color w:val="auto"/>
                <w:kern w:val="0"/>
                <w:sz w:val="20"/>
                <w:szCs w:val="20"/>
                <w:lang w:eastAsia="zh-CN"/>
              </w:rPr>
            </w:pPr>
            <w:r>
              <w:rPr>
                <w:rFonts w:hint="eastAsia" w:ascii="仿宋_GB2312" w:hAnsi="仿宋_GB2312" w:eastAsia="仿宋_GB2312" w:cs="仿宋_GB2312"/>
                <w:b w:val="0"/>
                <w:bCs w:val="0"/>
                <w:color w:val="auto"/>
                <w:kern w:val="0"/>
                <w:sz w:val="20"/>
                <w:szCs w:val="20"/>
              </w:rPr>
              <w:t>《行政处罚法》第1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r>
              <w:rPr>
                <w:rStyle w:val="13"/>
                <w:rFonts w:hint="eastAsia" w:ascii="仿宋_GB2312" w:hAnsi="仿宋_GB2312" w:eastAsia="仿宋_GB2312" w:cs="仿宋_GB2312"/>
                <w:b w:val="0"/>
                <w:bCs w:val="0"/>
                <w:color w:val="auto"/>
                <w:kern w:val="2"/>
                <w:sz w:val="20"/>
                <w:szCs w:val="20"/>
                <w:lang w:val="en-US" w:eastAsia="zh-CN"/>
              </w:rPr>
              <w:t>《对外承包工程管理条例》（中华人民共和国国务院令第527号）（2017年3月国务院令第676号修订）第23条。</w:t>
            </w:r>
          </w:p>
        </w:tc>
        <w:tc>
          <w:tcPr>
            <w:tcW w:w="80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kern w:val="2"/>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Style w:val="13"/>
                <w:rFonts w:ascii="Times New Roman" w:hAnsi="Times New Roman" w:eastAsia="仿宋_GB2312" w:cs="Times New Roman"/>
                <w:b w:val="0"/>
                <w:bCs w:val="0"/>
                <w:color w:val="auto"/>
                <w:kern w:val="2"/>
                <w:sz w:val="20"/>
                <w:szCs w:val="20"/>
                <w:lang w:val="en-US" w:eastAsia="zh-CN"/>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584" w:hRule="atLeast"/>
          <w:jc w:val="center"/>
        </w:trPr>
        <w:tc>
          <w:tcPr>
            <w:tcW w:w="699" w:type="dxa"/>
            <w:noWrap/>
            <w:vAlign w:val="center"/>
          </w:tcPr>
          <w:p>
            <w:pPr>
              <w:widowControl/>
              <w:numPr>
                <w:ilvl w:val="0"/>
                <w:numId w:val="1"/>
              </w:numPr>
              <w:wordWrap/>
              <w:adjustRightInd/>
              <w:snapToGrid/>
              <w:spacing w:line="240" w:lineRule="exact"/>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center"/>
              <w:textAlignment w:val="center"/>
              <w:rPr>
                <w:rFonts w:ascii="Times New Roman" w:hAnsi="Times New Roman" w:eastAsia="仿宋_GB2312" w:cs="Times New Roman"/>
                <w:b w:val="0"/>
                <w:bCs w:val="0"/>
                <w:color w:val="auto"/>
                <w:kern w:val="0"/>
                <w:sz w:val="20"/>
                <w:szCs w:val="20"/>
                <w:lang w:val="en-US" w:eastAsia="zh-CN"/>
              </w:rPr>
            </w:pPr>
            <w:r>
              <w:rPr>
                <w:rFonts w:hint="eastAsia" w:ascii="Times New Roman" w:hAnsi="Times New Roman" w:eastAsia="仿宋_GB2312" w:cs="Times New Roman"/>
                <w:b w:val="0"/>
                <w:bCs w:val="0"/>
                <w:color w:val="auto"/>
                <w:kern w:val="0"/>
                <w:sz w:val="20"/>
                <w:szCs w:val="20"/>
                <w:lang w:val="en-US" w:eastAsia="zh-CN"/>
              </w:rPr>
              <w:t>行政处罚</w:t>
            </w:r>
          </w:p>
        </w:tc>
        <w:tc>
          <w:tcPr>
            <w:tcW w:w="1246"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ascii="Times New Roman" w:hAnsi="Times New Roman" w:eastAsia="仿宋_GB2312" w:cs="Times New Roman"/>
                <w:b w:val="0"/>
                <w:bCs w:val="0"/>
                <w:color w:val="auto"/>
                <w:kern w:val="0"/>
                <w:sz w:val="20"/>
                <w:szCs w:val="20"/>
                <w:lang w:val="en-US" w:eastAsia="zh-CN"/>
              </w:rPr>
            </w:pPr>
            <w:r>
              <w:rPr>
                <w:rFonts w:hint="eastAsia" w:ascii="Times New Roman" w:hAnsi="Times New Roman" w:eastAsia="仿宋_GB2312" w:cs="Times New Roman"/>
                <w:b w:val="0"/>
                <w:bCs w:val="0"/>
                <w:color w:val="auto"/>
                <w:kern w:val="0"/>
                <w:sz w:val="20"/>
                <w:szCs w:val="20"/>
                <w:lang w:val="en-US" w:eastAsia="zh-CN"/>
              </w:rPr>
              <w:t>对外国投资者或外商投资企业未按照外商投资信息报告制度的要求报送投资信息的行政处罚</w:t>
            </w:r>
          </w:p>
        </w:tc>
        <w:tc>
          <w:tcPr>
            <w:tcW w:w="2389"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《中华人民共和国外商投资法》第37条；</w:t>
            </w:r>
          </w:p>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《外商投资信息报告办法》第25条</w:t>
            </w:r>
          </w:p>
        </w:tc>
        <w:tc>
          <w:tcPr>
            <w:tcW w:w="5532"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textAlignment w:val="center"/>
              <w:rPr>
                <w:rFonts w:hint="eastAsia" w:ascii="仿宋_GB2312" w:hAnsi="仿宋_GB2312" w:eastAsia="仿宋_GB2312" w:cs="仿宋_GB2312"/>
                <w:b w:val="0"/>
                <w:bCs w:val="0"/>
                <w:color w:val="auto"/>
                <w:kern w:val="0"/>
                <w:sz w:val="20"/>
                <w:szCs w:val="20"/>
                <w:lang w:val="en-US" w:eastAsia="zh-CN"/>
              </w:rPr>
            </w:pPr>
            <w:r>
              <w:rPr>
                <w:rStyle w:val="13"/>
                <w:rFonts w:hint="eastAsia" w:ascii="仿宋_GB2312" w:hAnsi="仿宋_GB2312" w:eastAsia="仿宋_GB2312" w:cs="仿宋_GB2312"/>
                <w:b w:val="0"/>
                <w:bCs w:val="0"/>
                <w:color w:val="auto"/>
                <w:kern w:val="2"/>
                <w:sz w:val="20"/>
                <w:szCs w:val="20"/>
                <w:lang w:val="en-US" w:eastAsia="zh-CN"/>
              </w:rPr>
              <w:t>1.立案责任：对依据监督检查职权或者通过举报、投诉、其他部门移送、上级部门交办等途径发现的违法行为线索，决定是否立案。</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2.调查责任：在调查或检查时，执法人员不得少于2人，并向当事人或有关人员出示证件，询问或检查应制作笔录；执法人员与当事人有直接利害关系的，应当回避。</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4.告知责任：在作出处罚决定之前，应当告知当事人作出处罚决定的事由、理由及依据，并告知当事人依法享有的权利；当事人依法要求听证的，应组织听证。</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5.决定责任：依法应当给予行政处罚的，制作盖有行政机关印章的行政处罚决定书，载明违法事实、证据、处罚种类和依据、权利救济途径等内容。</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6.送达责任：行政处罚决定书在决定后七日内依照民事诉讼法的有关规定送达当事人。</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7.执行责任：督促当事人履行生效的行政处罚决定，对逾期不履行的，依照《行政强制法》的规定执行。</w:t>
            </w:r>
            <w:r>
              <w:rPr>
                <w:rStyle w:val="13"/>
                <w:rFonts w:hint="eastAsia" w:ascii="仿宋_GB2312" w:hAnsi="仿宋_GB2312" w:eastAsia="仿宋_GB2312" w:cs="仿宋_GB2312"/>
                <w:b w:val="0"/>
                <w:bCs w:val="0"/>
                <w:color w:val="auto"/>
                <w:kern w:val="2"/>
                <w:sz w:val="20"/>
                <w:szCs w:val="20"/>
                <w:lang w:val="en-US" w:eastAsia="zh-CN"/>
              </w:rPr>
              <w:br w:type="textWrapping"/>
            </w:r>
            <w:r>
              <w:rPr>
                <w:rStyle w:val="13"/>
                <w:rFonts w:hint="eastAsia" w:ascii="仿宋_GB2312" w:hAnsi="仿宋_GB2312" w:eastAsia="仿宋_GB2312" w:cs="仿宋_GB2312"/>
                <w:b w:val="0"/>
                <w:bCs w:val="0"/>
                <w:color w:val="auto"/>
                <w:kern w:val="2"/>
                <w:sz w:val="20"/>
                <w:szCs w:val="20"/>
                <w:lang w:val="en-US" w:eastAsia="zh-CN"/>
              </w:rPr>
              <w:t>8.法律法规规章文件规定应履行的其他责任。</w:t>
            </w:r>
          </w:p>
        </w:tc>
        <w:tc>
          <w:tcPr>
            <w:tcW w:w="2337"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rPr>
              <w:t>《行政处罚法》第1</w:t>
            </w: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44</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55</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57</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59</w:t>
            </w:r>
            <w:r>
              <w:rPr>
                <w:rFonts w:hint="eastAsia" w:ascii="仿宋_GB2312" w:hAnsi="仿宋_GB2312" w:eastAsia="仿宋_GB2312" w:cs="仿宋_GB2312"/>
                <w:b w:val="0"/>
                <w:bCs w:val="0"/>
                <w:color w:val="auto"/>
                <w:kern w:val="0"/>
                <w:sz w:val="20"/>
                <w:szCs w:val="20"/>
              </w:rPr>
              <w:t>、</w:t>
            </w:r>
            <w:r>
              <w:rPr>
                <w:rFonts w:hint="eastAsia" w:ascii="仿宋_GB2312" w:hAnsi="仿宋_GB2312" w:eastAsia="仿宋_GB2312" w:cs="仿宋_GB2312"/>
                <w:b w:val="0"/>
                <w:bCs w:val="0"/>
                <w:color w:val="auto"/>
                <w:kern w:val="0"/>
                <w:sz w:val="20"/>
                <w:szCs w:val="20"/>
                <w:lang w:val="en-US" w:eastAsia="zh-CN"/>
              </w:rPr>
              <w:t>61</w:t>
            </w:r>
            <w:r>
              <w:rPr>
                <w:rFonts w:hint="eastAsia" w:ascii="仿宋_GB2312" w:hAnsi="仿宋_GB2312" w:eastAsia="仿宋_GB2312" w:cs="仿宋_GB2312"/>
                <w:b w:val="0"/>
                <w:bCs w:val="0"/>
                <w:color w:val="auto"/>
                <w:kern w:val="0"/>
                <w:sz w:val="20"/>
                <w:szCs w:val="20"/>
              </w:rPr>
              <w:t>条</w:t>
            </w:r>
            <w:r>
              <w:rPr>
                <w:rFonts w:hint="eastAsia" w:ascii="仿宋_GB2312" w:hAnsi="仿宋_GB2312" w:eastAsia="仿宋_GB2312" w:cs="仿宋_GB2312"/>
                <w:b w:val="0"/>
                <w:bCs w:val="0"/>
                <w:color w:val="auto"/>
                <w:kern w:val="0"/>
                <w:sz w:val="20"/>
                <w:szCs w:val="20"/>
                <w:lang w:eastAsia="zh-CN"/>
              </w:rPr>
              <w:t>；</w:t>
            </w:r>
            <w:r>
              <w:rPr>
                <w:rFonts w:hint="eastAsia" w:ascii="仿宋_GB2312" w:hAnsi="仿宋_GB2312" w:eastAsia="仿宋_GB2312" w:cs="仿宋_GB2312"/>
                <w:b w:val="0"/>
                <w:bCs w:val="0"/>
                <w:color w:val="auto"/>
                <w:kern w:val="0"/>
                <w:sz w:val="20"/>
                <w:szCs w:val="20"/>
                <w:lang w:val="en-US" w:eastAsia="zh-CN"/>
              </w:rPr>
              <w:t>《中华人民共和国外商投资法》第37条；</w:t>
            </w:r>
          </w:p>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《外商投资信息报告办法》第25条。</w:t>
            </w:r>
          </w:p>
        </w:tc>
        <w:tc>
          <w:tcPr>
            <w:tcW w:w="808"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center"/>
              <w:textAlignment w:val="center"/>
              <w:rPr>
                <w:rFonts w:ascii="Times New Roman" w:hAnsi="Times New Roman" w:eastAsia="仿宋_GB2312" w:cs="Times New Roman"/>
                <w:b w:val="0"/>
                <w:bCs w:val="0"/>
                <w:color w:val="auto"/>
                <w:kern w:val="0"/>
                <w:sz w:val="20"/>
                <w:szCs w:val="20"/>
                <w:lang w:val="en-US" w:eastAsia="zh-CN"/>
              </w:rPr>
            </w:pPr>
            <w:r>
              <w:rPr>
                <w:rFonts w:hint="eastAsia" w:ascii="Times New Roman" w:hAnsi="Times New Roman" w:eastAsia="仿宋_GB2312" w:cs="Times New Roman"/>
                <w:b w:val="0"/>
                <w:bCs w:val="0"/>
                <w:color w:val="auto"/>
                <w:kern w:val="0"/>
                <w:sz w:val="20"/>
                <w:szCs w:val="20"/>
                <w:lang w:val="en-US" w:eastAsia="zh-CN"/>
              </w:rPr>
              <w:t>外资处</w:t>
            </w:r>
          </w:p>
        </w:tc>
        <w:tc>
          <w:tcPr>
            <w:tcW w:w="1007" w:type="dxa"/>
            <w:noWrap/>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right="0" w:firstLine="0"/>
              <w:jc w:val="left"/>
              <w:textAlignment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厅法定代表人及分管领导、内设机构负责人、具体承办人</w:t>
            </w:r>
          </w:p>
        </w:tc>
        <w:tc>
          <w:tcPr>
            <w:tcW w:w="862" w:type="dxa"/>
            <w:noWrap/>
            <w:vAlign w:val="center"/>
          </w:tcPr>
          <w:p>
            <w:pPr>
              <w:widowControl/>
              <w:wordWrap/>
              <w:adjustRightInd/>
              <w:snapToGrid/>
              <w:spacing w:line="240" w:lineRule="exact"/>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33"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其他类</w:t>
            </w:r>
          </w:p>
        </w:tc>
        <w:tc>
          <w:tcPr>
            <w:tcW w:w="1246" w:type="dxa"/>
            <w:noWrap/>
            <w:vAlign w:val="center"/>
          </w:tcPr>
          <w:p>
            <w:pPr>
              <w:widowControl/>
              <w:wordWrap/>
              <w:adjustRightInd/>
              <w:snapToGrid/>
              <w:spacing w:before="0" w:beforeAutospacing="0" w:after="0" w:afterAutospacing="0" w:line="240" w:lineRule="exact"/>
              <w:ind w:left="0" w:right="0"/>
              <w:jc w:val="both"/>
              <w:textAlignment w:val="top"/>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lang w:val="en-US" w:eastAsia="zh-CN"/>
              </w:rPr>
              <w:t>省</w:t>
            </w:r>
            <w:r>
              <w:rPr>
                <w:rFonts w:ascii="Times New Roman" w:hAnsi="Times New Roman" w:eastAsia="仿宋_GB2312" w:cs="Times New Roman"/>
                <w:b w:val="0"/>
                <w:bCs w:val="0"/>
                <w:color w:val="auto"/>
                <w:kern w:val="0"/>
                <w:sz w:val="20"/>
                <w:szCs w:val="20"/>
              </w:rPr>
              <w:t>内企业在境外投资开办企业（金融企业除外）备案</w:t>
            </w:r>
          </w:p>
        </w:tc>
        <w:tc>
          <w:tcPr>
            <w:tcW w:w="2389"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Style w:val="13"/>
                <w:rFonts w:hint="eastAsia" w:ascii="仿宋_GB2312" w:hAnsi="仿宋_GB2312" w:eastAsia="仿宋_GB2312" w:cs="仿宋_GB2312"/>
                <w:b w:val="0"/>
                <w:bCs w:val="0"/>
                <w:color w:val="auto"/>
                <w:sz w:val="20"/>
                <w:szCs w:val="20"/>
              </w:rPr>
              <w:t>《境外投资管理办法》（商务部令2014年第3号）</w:t>
            </w:r>
            <w:r>
              <w:rPr>
                <w:rStyle w:val="13"/>
                <w:rFonts w:hint="eastAsia" w:ascii="仿宋_GB2312" w:hAnsi="仿宋_GB2312" w:eastAsia="仿宋_GB2312" w:cs="仿宋_GB2312"/>
                <w:b w:val="0"/>
                <w:bCs w:val="0"/>
                <w:color w:val="auto"/>
                <w:sz w:val="20"/>
                <w:szCs w:val="20"/>
                <w:lang w:val="en-US" w:eastAsia="zh-CN"/>
              </w:rPr>
              <w:t>第6条</w:t>
            </w:r>
          </w:p>
        </w:tc>
        <w:tc>
          <w:tcPr>
            <w:tcW w:w="553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3.决定责任：在规定期限内</w:t>
            </w:r>
            <w:r>
              <w:rPr>
                <w:rFonts w:hint="eastAsia" w:ascii="仿宋_GB2312" w:hAnsi="仿宋_GB2312" w:eastAsia="仿宋_GB2312" w:cs="仿宋_GB2312"/>
                <w:b w:val="0"/>
                <w:bCs w:val="0"/>
                <w:color w:val="auto"/>
                <w:kern w:val="0"/>
                <w:sz w:val="20"/>
                <w:szCs w:val="20"/>
                <w:lang w:eastAsia="zh-CN"/>
              </w:rPr>
              <w:t>予以</w:t>
            </w:r>
            <w:r>
              <w:rPr>
                <w:rFonts w:hint="eastAsia" w:ascii="仿宋_GB2312" w:hAnsi="仿宋_GB2312" w:eastAsia="仿宋_GB2312" w:cs="仿宋_GB2312"/>
                <w:b w:val="0"/>
                <w:bCs w:val="0"/>
                <w:color w:val="auto"/>
                <w:kern w:val="0"/>
                <w:sz w:val="20"/>
                <w:szCs w:val="20"/>
              </w:rPr>
              <w:t>备案。</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6.其他法律法规规章文件规定应履行的责任。</w:t>
            </w:r>
          </w:p>
        </w:tc>
        <w:tc>
          <w:tcPr>
            <w:tcW w:w="2337"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sz w:val="20"/>
                <w:szCs w:val="20"/>
              </w:rPr>
              <w:t>《境外投资管理办法》（商务部令2014年第3号）</w:t>
            </w: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sz w:val="20"/>
                <w:szCs w:val="20"/>
                <w:lang w:val="en-US" w:eastAsia="zh-CN"/>
              </w:rPr>
              <w:t>外经处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151"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其他类</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sz w:val="20"/>
                <w:szCs w:val="20"/>
              </w:rPr>
              <w:t>直销经营许可初审</w:t>
            </w:r>
          </w:p>
        </w:tc>
        <w:tc>
          <w:tcPr>
            <w:tcW w:w="2389"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rPr>
            </w:pPr>
            <w:r>
              <w:rPr>
                <w:rStyle w:val="13"/>
                <w:rFonts w:hint="eastAsia" w:ascii="仿宋_GB2312" w:hAnsi="仿宋_GB2312" w:eastAsia="仿宋_GB2312" w:cs="仿宋_GB2312"/>
                <w:b w:val="0"/>
                <w:bCs w:val="0"/>
                <w:color w:val="auto"/>
                <w:sz w:val="20"/>
                <w:szCs w:val="20"/>
              </w:rPr>
              <w:t>《直销管理条例》（国务院令第443号）</w:t>
            </w:r>
            <w:r>
              <w:rPr>
                <w:rStyle w:val="13"/>
                <w:rFonts w:hint="eastAsia" w:ascii="仿宋_GB2312" w:hAnsi="仿宋_GB2312" w:eastAsia="仿宋_GB2312" w:cs="仿宋_GB2312"/>
                <w:b w:val="0"/>
                <w:bCs w:val="0"/>
                <w:color w:val="auto"/>
                <w:kern w:val="2"/>
                <w:sz w:val="20"/>
                <w:szCs w:val="20"/>
                <w:lang w:val="en-US" w:eastAsia="zh-CN"/>
              </w:rPr>
              <w:t>（2017年3月国务院令第676号修订）第7、9条</w:t>
            </w:r>
          </w:p>
        </w:tc>
        <w:tc>
          <w:tcPr>
            <w:tcW w:w="553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3.决定责任：在规定期限内</w:t>
            </w:r>
            <w:r>
              <w:rPr>
                <w:rFonts w:hint="eastAsia" w:ascii="仿宋_GB2312" w:hAnsi="仿宋_GB2312" w:eastAsia="仿宋_GB2312" w:cs="仿宋_GB2312"/>
                <w:b w:val="0"/>
                <w:bCs w:val="0"/>
                <w:color w:val="auto"/>
                <w:kern w:val="0"/>
                <w:sz w:val="20"/>
                <w:szCs w:val="20"/>
                <w:lang w:eastAsia="zh-CN"/>
              </w:rPr>
              <w:t>予以初审</w:t>
            </w:r>
            <w:r>
              <w:rPr>
                <w:rFonts w:hint="eastAsia" w:ascii="仿宋_GB2312" w:hAnsi="仿宋_GB2312" w:eastAsia="仿宋_GB2312" w:cs="仿宋_GB2312"/>
                <w:b w:val="0"/>
                <w:bCs w:val="0"/>
                <w:color w:val="auto"/>
                <w:kern w:val="0"/>
                <w:sz w:val="20"/>
                <w:szCs w:val="20"/>
              </w:rPr>
              <w:t>。</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6.其他法律法规规章文件规定应履行的责任。</w:t>
            </w:r>
          </w:p>
        </w:tc>
        <w:tc>
          <w:tcPr>
            <w:tcW w:w="2337"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sz w:val="20"/>
                <w:szCs w:val="20"/>
              </w:rPr>
              <w:t>《直销管理条例》（国务院令第443号）</w:t>
            </w:r>
            <w:r>
              <w:rPr>
                <w:rStyle w:val="13"/>
                <w:rFonts w:hint="eastAsia" w:ascii="仿宋_GB2312" w:hAnsi="仿宋_GB2312" w:eastAsia="仿宋_GB2312" w:cs="仿宋_GB2312"/>
                <w:b w:val="0"/>
                <w:bCs w:val="0"/>
                <w:color w:val="auto"/>
                <w:kern w:val="2"/>
                <w:sz w:val="20"/>
                <w:szCs w:val="20"/>
                <w:lang w:val="en-US" w:eastAsia="zh-CN"/>
              </w:rPr>
              <w:t>（2017年3月国务院令第676号修订）第7、9条</w:t>
            </w: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rPr>
              <w:t>市场体系建设处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976"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r>
              <w:rPr>
                <w:rFonts w:ascii="Times New Roman" w:hAnsi="Times New Roman" w:eastAsia="仿宋_GB2312" w:cs="Times New Roman"/>
                <w:b w:val="0"/>
                <w:bCs w:val="0"/>
                <w:color w:val="auto"/>
                <w:kern w:val="0"/>
                <w:sz w:val="20"/>
                <w:szCs w:val="20"/>
                <w:lang w:val="en-US" w:eastAsia="zh-CN"/>
              </w:rPr>
              <w:t>其他类</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sz w:val="20"/>
                <w:szCs w:val="20"/>
              </w:rPr>
              <w:t>单用途商业预付卡管理备案</w:t>
            </w:r>
          </w:p>
        </w:tc>
        <w:tc>
          <w:tcPr>
            <w:tcW w:w="2389"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lang w:val="en-US" w:eastAsia="zh-CN"/>
              </w:rPr>
            </w:pPr>
            <w:r>
              <w:rPr>
                <w:rStyle w:val="13"/>
                <w:rFonts w:hint="eastAsia" w:ascii="仿宋_GB2312" w:hAnsi="仿宋_GB2312" w:eastAsia="仿宋_GB2312" w:cs="仿宋_GB2312"/>
                <w:b w:val="0"/>
                <w:bCs w:val="0"/>
                <w:color w:val="auto"/>
                <w:sz w:val="20"/>
                <w:szCs w:val="20"/>
              </w:rPr>
              <w:t>《单用途商业预付卡管理办法（试行）》（商务部2012第9号令）</w:t>
            </w:r>
            <w:r>
              <w:rPr>
                <w:rStyle w:val="13"/>
                <w:rFonts w:hint="eastAsia" w:ascii="仿宋_GB2312" w:hAnsi="仿宋_GB2312" w:eastAsia="仿宋_GB2312" w:cs="仿宋_GB2312"/>
                <w:b w:val="0"/>
                <w:bCs w:val="0"/>
                <w:color w:val="auto"/>
                <w:sz w:val="20"/>
                <w:szCs w:val="20"/>
                <w:lang w:val="en-US" w:eastAsia="zh-CN"/>
              </w:rPr>
              <w:t>第7条</w:t>
            </w:r>
          </w:p>
        </w:tc>
        <w:tc>
          <w:tcPr>
            <w:tcW w:w="5532" w:type="dxa"/>
            <w:noWrap/>
            <w:vAlign w:val="center"/>
          </w:tcPr>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3.决定责任：在规定期限内</w:t>
            </w:r>
            <w:r>
              <w:rPr>
                <w:rFonts w:hint="eastAsia" w:ascii="仿宋_GB2312" w:hAnsi="仿宋_GB2312" w:eastAsia="仿宋_GB2312" w:cs="仿宋_GB2312"/>
                <w:b w:val="0"/>
                <w:bCs w:val="0"/>
                <w:color w:val="auto"/>
                <w:kern w:val="0"/>
                <w:sz w:val="20"/>
                <w:szCs w:val="20"/>
                <w:lang w:eastAsia="zh-CN"/>
              </w:rPr>
              <w:t>予以</w:t>
            </w:r>
            <w:r>
              <w:rPr>
                <w:rFonts w:hint="eastAsia" w:ascii="仿宋_GB2312" w:hAnsi="仿宋_GB2312" w:eastAsia="仿宋_GB2312" w:cs="仿宋_GB2312"/>
                <w:b w:val="0"/>
                <w:bCs w:val="0"/>
                <w:color w:val="auto"/>
                <w:kern w:val="0"/>
                <w:sz w:val="20"/>
                <w:szCs w:val="20"/>
              </w:rPr>
              <w:t>备案。</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6.其他法律法规规章文件规定应履行的责任。</w:t>
            </w:r>
          </w:p>
        </w:tc>
        <w:tc>
          <w:tcPr>
            <w:tcW w:w="2337"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sz w:val="20"/>
                <w:szCs w:val="20"/>
              </w:rPr>
              <w:t>《单用途商业预付卡管理办法（试行）》（商务部2012第9号令）</w:t>
            </w:r>
            <w:r>
              <w:rPr>
                <w:rStyle w:val="13"/>
                <w:rFonts w:hint="eastAsia" w:ascii="仿宋_GB2312" w:hAnsi="仿宋_GB2312" w:eastAsia="仿宋_GB2312" w:cs="仿宋_GB2312"/>
                <w:b w:val="0"/>
                <w:bCs w:val="0"/>
                <w:color w:val="auto"/>
                <w:sz w:val="20"/>
                <w:szCs w:val="20"/>
                <w:lang w:val="en-US" w:eastAsia="zh-CN"/>
              </w:rPr>
              <w:t>第7条</w:t>
            </w: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rPr>
            </w:pPr>
            <w:r>
              <w:rPr>
                <w:rFonts w:ascii="Times New Roman" w:hAnsi="Times New Roman" w:eastAsia="仿宋_GB2312" w:cs="Times New Roman"/>
                <w:b w:val="0"/>
                <w:bCs w:val="0"/>
                <w:color w:val="auto"/>
                <w:kern w:val="0"/>
                <w:sz w:val="20"/>
                <w:szCs w:val="20"/>
              </w:rPr>
              <w:t>市场体系建设处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center"/>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08"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Style w:val="13"/>
                <w:rFonts w:ascii="Times New Roman" w:hAnsi="Times New Roman" w:eastAsia="仿宋_GB2312" w:cs="Times New Roman"/>
                <w:b w:val="0"/>
                <w:bCs w:val="0"/>
                <w:color w:val="auto"/>
                <w:sz w:val="20"/>
                <w:szCs w:val="20"/>
                <w:lang w:val="en-US" w:eastAsia="zh-CN"/>
              </w:rPr>
              <w:t>其他类</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sz w:val="20"/>
                <w:szCs w:val="20"/>
                <w:lang w:val="en-US" w:eastAsia="zh-CN"/>
              </w:rPr>
              <w:t>国际货运代理企业备案登记</w:t>
            </w:r>
          </w:p>
        </w:tc>
        <w:tc>
          <w:tcPr>
            <w:tcW w:w="2389"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sz w:val="20"/>
                <w:szCs w:val="20"/>
                <w:lang w:val="en-US" w:eastAsia="zh-CN"/>
              </w:rPr>
              <w:t>《</w:t>
            </w:r>
            <w:r>
              <w:rPr>
                <w:rStyle w:val="13"/>
                <w:rFonts w:hint="eastAsia" w:ascii="仿宋_GB2312" w:hAnsi="仿宋_GB2312" w:eastAsia="仿宋_GB2312" w:cs="仿宋_GB2312"/>
                <w:b w:val="0"/>
                <w:bCs w:val="0"/>
                <w:color w:val="auto"/>
                <w:sz w:val="20"/>
                <w:szCs w:val="20"/>
              </w:rPr>
              <w:t>中华人民共和国对外贸易法</w:t>
            </w:r>
            <w:r>
              <w:rPr>
                <w:rStyle w:val="13"/>
                <w:rFonts w:hint="eastAsia" w:ascii="仿宋_GB2312" w:hAnsi="仿宋_GB2312" w:eastAsia="仿宋_GB2312" w:cs="仿宋_GB2312"/>
                <w:b w:val="0"/>
                <w:bCs w:val="0"/>
                <w:color w:val="auto"/>
                <w:sz w:val="20"/>
                <w:szCs w:val="20"/>
                <w:lang w:val="en-US" w:eastAsia="zh-CN"/>
              </w:rPr>
              <w:t>》（</w:t>
            </w:r>
            <w:r>
              <w:rPr>
                <w:rStyle w:val="13"/>
                <w:rFonts w:hint="eastAsia" w:ascii="仿宋_GB2312" w:hAnsi="仿宋_GB2312" w:eastAsia="仿宋_GB2312" w:cs="仿宋_GB2312"/>
                <w:b w:val="0"/>
                <w:bCs w:val="0"/>
                <w:color w:val="auto"/>
                <w:sz w:val="20"/>
                <w:szCs w:val="20"/>
              </w:rPr>
              <w:t>2016年11月7日第十二届全国人民代表大会常务委员会第二十四次会议修正</w:t>
            </w:r>
            <w:r>
              <w:rPr>
                <w:rStyle w:val="13"/>
                <w:rFonts w:hint="eastAsia" w:ascii="仿宋_GB2312" w:hAnsi="仿宋_GB2312" w:eastAsia="仿宋_GB2312" w:cs="仿宋_GB2312"/>
                <w:b w:val="0"/>
                <w:bCs w:val="0"/>
                <w:color w:val="auto"/>
                <w:sz w:val="20"/>
                <w:szCs w:val="20"/>
                <w:lang w:eastAsia="zh-CN"/>
              </w:rPr>
              <w:t>）</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《中华人民共和国国际货物运输代理业管理规定实施细则》（</w:t>
            </w:r>
            <w:r>
              <w:rPr>
                <w:rStyle w:val="13"/>
                <w:rFonts w:hint="eastAsia" w:ascii="仿宋_GB2312" w:hAnsi="仿宋_GB2312" w:eastAsia="仿宋_GB2312" w:cs="仿宋_GB2312"/>
                <w:b w:val="0"/>
                <w:bCs w:val="0"/>
                <w:color w:val="auto"/>
                <w:sz w:val="20"/>
                <w:szCs w:val="20"/>
              </w:rPr>
              <w:t>商务部公告2003年第82号）</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《国际货运代理企业备案（暂行）办法》（</w:t>
            </w:r>
            <w:r>
              <w:rPr>
                <w:rStyle w:val="13"/>
                <w:rFonts w:hint="eastAsia" w:ascii="仿宋_GB2312" w:hAnsi="仿宋_GB2312" w:eastAsia="仿宋_GB2312" w:cs="仿宋_GB2312"/>
                <w:b w:val="0"/>
                <w:bCs w:val="0"/>
                <w:color w:val="auto"/>
                <w:sz w:val="20"/>
                <w:szCs w:val="20"/>
              </w:rPr>
              <w:t>2016年8月18日商务部令2016年第2号修正</w:t>
            </w:r>
            <w:r>
              <w:rPr>
                <w:rStyle w:val="13"/>
                <w:rFonts w:hint="eastAsia" w:ascii="仿宋_GB2312" w:hAnsi="仿宋_GB2312" w:eastAsia="仿宋_GB2312" w:cs="仿宋_GB2312"/>
                <w:b w:val="0"/>
                <w:bCs w:val="0"/>
                <w:color w:val="auto"/>
                <w:sz w:val="20"/>
                <w:szCs w:val="20"/>
                <w:lang w:val="en-US" w:eastAsia="zh-CN"/>
              </w:rPr>
              <w:t>）</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《商务部、国家工商行政管理总局关于国际货物运输代理企业登记和管理有关问题的通知》（商贸发〔2005〕32号）</w:t>
            </w:r>
          </w:p>
        </w:tc>
        <w:tc>
          <w:tcPr>
            <w:tcW w:w="5532"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3.决定责任：在规定期限内予以</w:t>
            </w:r>
            <w:r>
              <w:rPr>
                <w:rFonts w:hint="eastAsia" w:ascii="仿宋_GB2312" w:hAnsi="仿宋_GB2312" w:eastAsia="仿宋_GB2312" w:cs="仿宋_GB2312"/>
                <w:b w:val="0"/>
                <w:bCs w:val="0"/>
                <w:color w:val="auto"/>
                <w:kern w:val="0"/>
                <w:sz w:val="20"/>
                <w:szCs w:val="20"/>
                <w:lang w:eastAsia="zh-CN"/>
              </w:rPr>
              <w:t>登记</w:t>
            </w:r>
            <w:r>
              <w:rPr>
                <w:rFonts w:hint="eastAsia" w:ascii="仿宋_GB2312" w:hAnsi="仿宋_GB2312" w:eastAsia="仿宋_GB2312" w:cs="仿宋_GB2312"/>
                <w:b w:val="0"/>
                <w:bCs w:val="0"/>
                <w:color w:val="auto"/>
                <w:kern w:val="0"/>
                <w:sz w:val="20"/>
                <w:szCs w:val="20"/>
              </w:rPr>
              <w:t>。</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6.其他法律法规规章文件规定应履行的责任。</w:t>
            </w:r>
          </w:p>
        </w:tc>
        <w:tc>
          <w:tcPr>
            <w:tcW w:w="2337"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Style w:val="13"/>
                <w:rFonts w:hint="eastAsia" w:ascii="仿宋_GB2312" w:hAnsi="仿宋_GB2312" w:eastAsia="仿宋_GB2312" w:cs="仿宋_GB2312"/>
                <w:b w:val="0"/>
                <w:bCs w:val="0"/>
                <w:color w:val="auto"/>
                <w:sz w:val="20"/>
                <w:szCs w:val="20"/>
                <w:lang w:val="en-US" w:eastAsia="zh-CN"/>
              </w:rPr>
              <w:t>《</w:t>
            </w:r>
            <w:r>
              <w:rPr>
                <w:rStyle w:val="13"/>
                <w:rFonts w:hint="eastAsia" w:ascii="仿宋_GB2312" w:hAnsi="仿宋_GB2312" w:eastAsia="仿宋_GB2312" w:cs="仿宋_GB2312"/>
                <w:b w:val="0"/>
                <w:bCs w:val="0"/>
                <w:color w:val="auto"/>
                <w:sz w:val="20"/>
                <w:szCs w:val="20"/>
              </w:rPr>
              <w:t>中华人民共和国对外贸易法</w:t>
            </w:r>
            <w:r>
              <w:rPr>
                <w:rStyle w:val="13"/>
                <w:rFonts w:hint="eastAsia" w:ascii="仿宋_GB2312" w:hAnsi="仿宋_GB2312" w:eastAsia="仿宋_GB2312" w:cs="仿宋_GB2312"/>
                <w:b w:val="0"/>
                <w:bCs w:val="0"/>
                <w:color w:val="auto"/>
                <w:sz w:val="20"/>
                <w:szCs w:val="20"/>
                <w:lang w:val="en-US" w:eastAsia="zh-CN"/>
              </w:rPr>
              <w:t>》（</w:t>
            </w:r>
            <w:r>
              <w:rPr>
                <w:rStyle w:val="13"/>
                <w:rFonts w:hint="eastAsia" w:ascii="仿宋_GB2312" w:hAnsi="仿宋_GB2312" w:eastAsia="仿宋_GB2312" w:cs="仿宋_GB2312"/>
                <w:b w:val="0"/>
                <w:bCs w:val="0"/>
                <w:color w:val="auto"/>
                <w:sz w:val="20"/>
                <w:szCs w:val="20"/>
              </w:rPr>
              <w:t>2016年11月7日第十二届全国人民代表大会常务委员会第二十四次会议修正</w:t>
            </w:r>
            <w:r>
              <w:rPr>
                <w:rStyle w:val="13"/>
                <w:rFonts w:hint="eastAsia" w:ascii="仿宋_GB2312" w:hAnsi="仿宋_GB2312" w:eastAsia="仿宋_GB2312" w:cs="仿宋_GB2312"/>
                <w:b w:val="0"/>
                <w:bCs w:val="0"/>
                <w:color w:val="auto"/>
                <w:sz w:val="20"/>
                <w:szCs w:val="20"/>
                <w:lang w:eastAsia="zh-CN"/>
              </w:rPr>
              <w:t>）</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《中华人民共和国国际货物运输代理业管理规定实施细则》（</w:t>
            </w:r>
            <w:r>
              <w:rPr>
                <w:rStyle w:val="13"/>
                <w:rFonts w:hint="eastAsia" w:ascii="仿宋_GB2312" w:hAnsi="仿宋_GB2312" w:eastAsia="仿宋_GB2312" w:cs="仿宋_GB2312"/>
                <w:b w:val="0"/>
                <w:bCs w:val="0"/>
                <w:color w:val="auto"/>
                <w:sz w:val="20"/>
                <w:szCs w:val="20"/>
              </w:rPr>
              <w:t>商务部公告2003年第82号）</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《国际货运代理企业备案（暂行）办法》（</w:t>
            </w:r>
            <w:r>
              <w:rPr>
                <w:rStyle w:val="13"/>
                <w:rFonts w:hint="eastAsia" w:ascii="仿宋_GB2312" w:hAnsi="仿宋_GB2312" w:eastAsia="仿宋_GB2312" w:cs="仿宋_GB2312"/>
                <w:b w:val="0"/>
                <w:bCs w:val="0"/>
                <w:color w:val="auto"/>
                <w:sz w:val="20"/>
                <w:szCs w:val="20"/>
              </w:rPr>
              <w:t>2016年8月18日商务部令2016年第2号修正</w:t>
            </w:r>
            <w:r>
              <w:rPr>
                <w:rStyle w:val="13"/>
                <w:rFonts w:hint="eastAsia" w:ascii="仿宋_GB2312" w:hAnsi="仿宋_GB2312" w:eastAsia="仿宋_GB2312" w:cs="仿宋_GB2312"/>
                <w:b w:val="0"/>
                <w:bCs w:val="0"/>
                <w:color w:val="auto"/>
                <w:sz w:val="20"/>
                <w:szCs w:val="20"/>
                <w:lang w:val="en-US" w:eastAsia="zh-CN"/>
              </w:rPr>
              <w:t>）</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《商务部、国家工商行政管理总局关于国际货物运输代理企业登记和管理有关问题的通知》（商贸发〔2005〕32号）</w:t>
            </w: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Style w:val="13"/>
                <w:rFonts w:hint="eastAsia" w:ascii="Times New Roman" w:hAnsi="Times New Roman" w:eastAsia="仿宋_GB2312" w:cs="Times New Roman"/>
                <w:b w:val="0"/>
                <w:bCs w:val="0"/>
                <w:color w:val="auto"/>
                <w:sz w:val="20"/>
                <w:szCs w:val="20"/>
                <w:lang w:val="en-US" w:eastAsia="zh-CN"/>
              </w:rPr>
              <w:t>服务</w:t>
            </w:r>
            <w:r>
              <w:rPr>
                <w:rStyle w:val="13"/>
                <w:rFonts w:ascii="Times New Roman" w:hAnsi="Times New Roman" w:eastAsia="仿宋_GB2312" w:cs="Times New Roman"/>
                <w:b w:val="0"/>
                <w:bCs w:val="0"/>
                <w:color w:val="auto"/>
                <w:sz w:val="20"/>
                <w:szCs w:val="20"/>
                <w:lang w:val="en-US" w:eastAsia="zh-CN"/>
              </w:rPr>
              <w:t>贸易处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5" w:hRule="atLeast"/>
          <w:jc w:val="center"/>
        </w:trPr>
        <w:tc>
          <w:tcPr>
            <w:tcW w:w="699" w:type="dxa"/>
            <w:noWrap/>
            <w:vAlign w:val="center"/>
          </w:tcPr>
          <w:p>
            <w:pPr>
              <w:widowControl/>
              <w:numPr>
                <w:ilvl w:val="0"/>
                <w:numId w:val="1"/>
              </w:numPr>
              <w:wordWrap/>
              <w:adjustRightInd/>
              <w:snapToGrid/>
              <w:spacing w:before="0" w:beforeAutospacing="0" w:after="0" w:afterAutospacing="0" w:line="240" w:lineRule="exact"/>
              <w:ind w:left="360" w:right="0"/>
              <w:jc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widowControl/>
              <w:wordWrap/>
              <w:adjustRightInd/>
              <w:snapToGrid/>
              <w:spacing w:before="0" w:beforeAutospacing="0" w:after="0" w:afterAutospacing="0" w:line="240" w:lineRule="exact"/>
              <w:ind w:left="0" w:right="0"/>
              <w:jc w:val="center"/>
              <w:textAlignment w:val="center"/>
              <w:rPr>
                <w:rFonts w:ascii="Times New Roman" w:hAnsi="Times New Roman" w:eastAsia="仿宋_GB2312" w:cs="Times New Roman"/>
                <w:b w:val="0"/>
                <w:bCs w:val="0"/>
                <w:color w:val="auto"/>
                <w:kern w:val="0"/>
                <w:sz w:val="20"/>
                <w:szCs w:val="20"/>
                <w:lang w:val="en-US" w:eastAsia="zh-CN"/>
              </w:rPr>
            </w:pPr>
            <w:r>
              <w:rPr>
                <w:rStyle w:val="13"/>
                <w:rFonts w:ascii="Times New Roman" w:hAnsi="Times New Roman" w:eastAsia="仿宋_GB2312" w:cs="Times New Roman"/>
                <w:b w:val="0"/>
                <w:bCs w:val="0"/>
                <w:color w:val="auto"/>
                <w:sz w:val="20"/>
                <w:szCs w:val="20"/>
                <w:lang w:val="en-US" w:eastAsia="zh-CN"/>
              </w:rPr>
              <w:t>其他类</w:t>
            </w:r>
          </w:p>
        </w:tc>
        <w:tc>
          <w:tcPr>
            <w:tcW w:w="1246" w:type="dxa"/>
            <w:noWrap/>
            <w:vAlign w:val="center"/>
          </w:tcPr>
          <w:p>
            <w:pPr>
              <w:widowControl/>
              <w:wordWrap/>
              <w:adjustRightInd/>
              <w:snapToGrid/>
              <w:spacing w:before="0" w:beforeAutospacing="0" w:after="0" w:afterAutospacing="0" w:line="240" w:lineRule="exact"/>
              <w:ind w:left="0" w:right="0"/>
              <w:jc w:val="left"/>
              <w:textAlignment w:val="center"/>
              <w:rPr>
                <w:rFonts w:ascii="Times New Roman" w:hAnsi="Times New Roman" w:eastAsia="仿宋_GB2312" w:cs="Times New Roman"/>
                <w:b w:val="0"/>
                <w:bCs w:val="0"/>
                <w:color w:val="auto"/>
                <w:kern w:val="0"/>
                <w:sz w:val="20"/>
                <w:szCs w:val="20"/>
              </w:rPr>
            </w:pPr>
            <w:r>
              <w:rPr>
                <w:rStyle w:val="13"/>
                <w:rFonts w:ascii="Times New Roman" w:hAnsi="Times New Roman" w:eastAsia="仿宋_GB2312" w:cs="Times New Roman"/>
                <w:b w:val="0"/>
                <w:bCs w:val="0"/>
                <w:color w:val="auto"/>
                <w:sz w:val="20"/>
                <w:szCs w:val="20"/>
                <w:lang w:val="en-US" w:eastAsia="zh-CN"/>
              </w:rPr>
              <w:t>自由类技术进出口合同登记</w:t>
            </w:r>
          </w:p>
        </w:tc>
        <w:tc>
          <w:tcPr>
            <w:tcW w:w="2389" w:type="dxa"/>
            <w:noWrap/>
            <w:vAlign w:val="center"/>
          </w:tcPr>
          <w:p>
            <w:pPr>
              <w:widowControl/>
              <w:wordWrap/>
              <w:adjustRightInd/>
              <w:snapToGrid/>
              <w:spacing w:before="0" w:beforeAutospacing="0" w:after="0" w:afterAutospacing="0" w:line="240" w:lineRule="exact"/>
              <w:ind w:left="0" w:right="0"/>
              <w:jc w:val="left"/>
              <w:textAlignment w:val="center"/>
              <w:rPr>
                <w:rStyle w:val="13"/>
                <w:rFonts w:hint="eastAsia" w:ascii="仿宋_GB2312" w:hAnsi="仿宋_GB2312" w:eastAsia="仿宋_GB2312" w:cs="仿宋_GB2312"/>
                <w:b w:val="0"/>
                <w:bCs w:val="0"/>
                <w:color w:val="auto"/>
                <w:sz w:val="20"/>
                <w:szCs w:val="20"/>
              </w:rPr>
            </w:pPr>
            <w:r>
              <w:rPr>
                <w:rStyle w:val="13"/>
                <w:rFonts w:hint="eastAsia" w:ascii="仿宋_GB2312" w:hAnsi="仿宋_GB2312" w:eastAsia="仿宋_GB2312" w:cs="仿宋_GB2312"/>
                <w:b w:val="0"/>
                <w:bCs w:val="0"/>
                <w:color w:val="auto"/>
                <w:sz w:val="20"/>
                <w:szCs w:val="20"/>
                <w:lang w:val="en-US" w:eastAsia="zh-CN"/>
              </w:rPr>
              <w:t>《中华人民共和国对外贸易法》</w:t>
            </w:r>
            <w:r>
              <w:rPr>
                <w:rStyle w:val="13"/>
                <w:rFonts w:hint="eastAsia" w:ascii="仿宋_GB2312" w:hAnsi="仿宋_GB2312" w:eastAsia="仿宋_GB2312" w:cs="仿宋_GB2312"/>
                <w:b w:val="0"/>
                <w:bCs w:val="0"/>
                <w:color w:val="auto"/>
                <w:sz w:val="20"/>
                <w:szCs w:val="20"/>
              </w:rPr>
              <w:t>（2016年11月7日第十二届全国人民代表大会常务委员会第二十四次会议修正）</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《中华人民共和国技术进出口管理条例》（</w:t>
            </w:r>
            <w:r>
              <w:rPr>
                <w:rStyle w:val="13"/>
                <w:rFonts w:hint="eastAsia" w:ascii="仿宋_GB2312" w:hAnsi="仿宋_GB2312" w:eastAsia="仿宋_GB2312" w:cs="仿宋_GB2312"/>
                <w:b w:val="0"/>
                <w:bCs w:val="0"/>
                <w:color w:val="auto"/>
                <w:sz w:val="20"/>
                <w:szCs w:val="20"/>
              </w:rPr>
              <w:t>2019年3月2日</w:t>
            </w:r>
            <w:r>
              <w:rPr>
                <w:rStyle w:val="13"/>
                <w:rFonts w:hint="eastAsia" w:ascii="仿宋_GB2312" w:hAnsi="仿宋_GB2312" w:eastAsia="仿宋_GB2312" w:cs="仿宋_GB2312"/>
                <w:b w:val="0"/>
                <w:bCs w:val="0"/>
                <w:color w:val="auto"/>
                <w:sz w:val="20"/>
                <w:szCs w:val="20"/>
                <w:lang w:eastAsia="zh-CN"/>
              </w:rPr>
              <w:t>&lt;</w:t>
            </w:r>
            <w:r>
              <w:rPr>
                <w:rStyle w:val="13"/>
                <w:rFonts w:hint="eastAsia" w:ascii="仿宋_GB2312" w:hAnsi="仿宋_GB2312" w:eastAsia="仿宋_GB2312" w:cs="仿宋_GB2312"/>
                <w:b w:val="0"/>
                <w:bCs w:val="0"/>
                <w:color w:val="auto"/>
                <w:sz w:val="20"/>
                <w:szCs w:val="20"/>
              </w:rPr>
              <w:t>国务院关于修改部分行政法规的决定</w:t>
            </w:r>
            <w:r>
              <w:rPr>
                <w:rStyle w:val="13"/>
                <w:rFonts w:hint="eastAsia" w:ascii="仿宋_GB2312" w:hAnsi="仿宋_GB2312" w:eastAsia="仿宋_GB2312" w:cs="仿宋_GB2312"/>
                <w:b w:val="0"/>
                <w:bCs w:val="0"/>
                <w:color w:val="auto"/>
                <w:sz w:val="20"/>
                <w:szCs w:val="20"/>
                <w:lang w:eastAsia="zh-CN"/>
              </w:rPr>
              <w:t>&gt;</w:t>
            </w:r>
            <w:r>
              <w:rPr>
                <w:rStyle w:val="13"/>
                <w:rFonts w:hint="eastAsia" w:ascii="仿宋_GB2312" w:hAnsi="仿宋_GB2312" w:eastAsia="仿宋_GB2312" w:cs="仿宋_GB2312"/>
                <w:b w:val="0"/>
                <w:bCs w:val="0"/>
                <w:color w:val="auto"/>
                <w:sz w:val="20"/>
                <w:szCs w:val="20"/>
              </w:rPr>
              <w:t>修正</w:t>
            </w:r>
            <w:r>
              <w:rPr>
                <w:rStyle w:val="13"/>
                <w:rFonts w:hint="eastAsia" w:ascii="仿宋_GB2312" w:hAnsi="仿宋_GB2312" w:eastAsia="仿宋_GB2312" w:cs="仿宋_GB2312"/>
                <w:b w:val="0"/>
                <w:bCs w:val="0"/>
                <w:color w:val="auto"/>
                <w:sz w:val="20"/>
                <w:szCs w:val="20"/>
                <w:lang w:val="en-US" w:eastAsia="zh-CN"/>
              </w:rPr>
              <w:t>）</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《技术进出口合同登记管理办法》（商务部令2009年第3号）</w:t>
            </w:r>
          </w:p>
        </w:tc>
        <w:tc>
          <w:tcPr>
            <w:tcW w:w="5532" w:type="dxa"/>
            <w:noWrap/>
            <w:vAlign w:val="center"/>
          </w:tcPr>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1.受理责任：公示告知应当提交的材料；一次性告知补正材料；依法受理或不予受理（不予受理的告知理由）。</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2.审查责任：对申请材料进行审查。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3.决定责任：在规定期限内予以</w:t>
            </w:r>
            <w:r>
              <w:rPr>
                <w:rFonts w:hint="eastAsia" w:ascii="仿宋_GB2312" w:hAnsi="仿宋_GB2312" w:eastAsia="仿宋_GB2312" w:cs="仿宋_GB2312"/>
                <w:b w:val="0"/>
                <w:bCs w:val="0"/>
                <w:color w:val="auto"/>
                <w:kern w:val="0"/>
                <w:sz w:val="20"/>
                <w:szCs w:val="20"/>
                <w:lang w:eastAsia="zh-CN"/>
              </w:rPr>
              <w:t>登记</w:t>
            </w:r>
            <w:r>
              <w:rPr>
                <w:rFonts w:hint="eastAsia" w:ascii="仿宋_GB2312" w:hAnsi="仿宋_GB2312" w:eastAsia="仿宋_GB2312" w:cs="仿宋_GB2312"/>
                <w:b w:val="0"/>
                <w:bCs w:val="0"/>
                <w:color w:val="auto"/>
                <w:kern w:val="0"/>
                <w:sz w:val="20"/>
                <w:szCs w:val="20"/>
              </w:rPr>
              <w:t>。</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4.送达责任：在规定期限内制定并向申请人送达法律证件。</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5.事后监督责任：开展定期和不定期监督检查。</w:t>
            </w:r>
          </w:p>
          <w:p>
            <w:pPr>
              <w:widowControl/>
              <w:wordWrap/>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6.其他法律法规规章文件规定应履行的责任。</w:t>
            </w:r>
          </w:p>
        </w:tc>
        <w:tc>
          <w:tcPr>
            <w:tcW w:w="2337" w:type="dxa"/>
            <w:noWrap/>
            <w:vAlign w:val="center"/>
          </w:tcPr>
          <w:p>
            <w:pPr>
              <w:widowControl/>
              <w:wordWrap/>
              <w:adjustRightInd/>
              <w:snapToGrid/>
              <w:spacing w:before="0" w:beforeAutospacing="0" w:after="0" w:afterAutospacing="0" w:line="240" w:lineRule="exact"/>
              <w:ind w:left="0" w:right="0"/>
              <w:jc w:val="left"/>
              <w:textAlignment w:val="center"/>
              <w:rPr>
                <w:rStyle w:val="13"/>
                <w:rFonts w:hint="eastAsia" w:ascii="仿宋_GB2312" w:hAnsi="仿宋_GB2312" w:eastAsia="仿宋_GB2312" w:cs="仿宋_GB2312"/>
                <w:b w:val="0"/>
                <w:bCs w:val="0"/>
                <w:color w:val="auto"/>
                <w:sz w:val="20"/>
                <w:szCs w:val="20"/>
              </w:rPr>
            </w:pPr>
            <w:r>
              <w:rPr>
                <w:rStyle w:val="13"/>
                <w:rFonts w:hint="eastAsia" w:ascii="仿宋_GB2312" w:hAnsi="仿宋_GB2312" w:eastAsia="仿宋_GB2312" w:cs="仿宋_GB2312"/>
                <w:b w:val="0"/>
                <w:bCs w:val="0"/>
                <w:color w:val="auto"/>
                <w:sz w:val="20"/>
                <w:szCs w:val="20"/>
                <w:lang w:val="en-US" w:eastAsia="zh-CN"/>
              </w:rPr>
              <w:t>《中华人民共和国对外贸易法》</w:t>
            </w:r>
            <w:r>
              <w:rPr>
                <w:rStyle w:val="13"/>
                <w:rFonts w:hint="eastAsia" w:ascii="仿宋_GB2312" w:hAnsi="仿宋_GB2312" w:eastAsia="仿宋_GB2312" w:cs="仿宋_GB2312"/>
                <w:b w:val="0"/>
                <w:bCs w:val="0"/>
                <w:color w:val="auto"/>
                <w:sz w:val="20"/>
                <w:szCs w:val="20"/>
              </w:rPr>
              <w:t>（2016年11月7日第十二届全国人民代表大会常务委员会第二十四次会议修正）</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《中华人民共和国技术进出口管理条例》（</w:t>
            </w:r>
            <w:r>
              <w:rPr>
                <w:rStyle w:val="13"/>
                <w:rFonts w:hint="eastAsia" w:ascii="仿宋_GB2312" w:hAnsi="仿宋_GB2312" w:eastAsia="仿宋_GB2312" w:cs="仿宋_GB2312"/>
                <w:b w:val="0"/>
                <w:bCs w:val="0"/>
                <w:color w:val="auto"/>
                <w:sz w:val="20"/>
                <w:szCs w:val="20"/>
              </w:rPr>
              <w:t>2019年3月2日</w:t>
            </w:r>
            <w:r>
              <w:rPr>
                <w:rStyle w:val="13"/>
                <w:rFonts w:hint="eastAsia" w:ascii="仿宋_GB2312" w:hAnsi="仿宋_GB2312" w:eastAsia="仿宋_GB2312" w:cs="仿宋_GB2312"/>
                <w:b w:val="0"/>
                <w:bCs w:val="0"/>
                <w:color w:val="auto"/>
                <w:sz w:val="20"/>
                <w:szCs w:val="20"/>
                <w:lang w:eastAsia="zh-CN"/>
              </w:rPr>
              <w:t>&lt;</w:t>
            </w:r>
            <w:r>
              <w:rPr>
                <w:rStyle w:val="13"/>
                <w:rFonts w:hint="eastAsia" w:ascii="仿宋_GB2312" w:hAnsi="仿宋_GB2312" w:eastAsia="仿宋_GB2312" w:cs="仿宋_GB2312"/>
                <w:b w:val="0"/>
                <w:bCs w:val="0"/>
                <w:color w:val="auto"/>
                <w:sz w:val="20"/>
                <w:szCs w:val="20"/>
              </w:rPr>
              <w:t>国务院关于修改部分行政法规的决定</w:t>
            </w:r>
            <w:r>
              <w:rPr>
                <w:rStyle w:val="13"/>
                <w:rFonts w:hint="eastAsia" w:ascii="仿宋_GB2312" w:hAnsi="仿宋_GB2312" w:eastAsia="仿宋_GB2312" w:cs="仿宋_GB2312"/>
                <w:b w:val="0"/>
                <w:bCs w:val="0"/>
                <w:color w:val="auto"/>
                <w:sz w:val="20"/>
                <w:szCs w:val="20"/>
                <w:lang w:eastAsia="zh-CN"/>
              </w:rPr>
              <w:t>&gt;</w:t>
            </w:r>
            <w:r>
              <w:rPr>
                <w:rStyle w:val="13"/>
                <w:rFonts w:hint="eastAsia" w:ascii="仿宋_GB2312" w:hAnsi="仿宋_GB2312" w:eastAsia="仿宋_GB2312" w:cs="仿宋_GB2312"/>
                <w:b w:val="0"/>
                <w:bCs w:val="0"/>
                <w:color w:val="auto"/>
                <w:sz w:val="20"/>
                <w:szCs w:val="20"/>
              </w:rPr>
              <w:t>修正</w:t>
            </w:r>
            <w:r>
              <w:rPr>
                <w:rStyle w:val="13"/>
                <w:rFonts w:hint="eastAsia" w:ascii="仿宋_GB2312" w:hAnsi="仿宋_GB2312" w:eastAsia="仿宋_GB2312" w:cs="仿宋_GB2312"/>
                <w:b w:val="0"/>
                <w:bCs w:val="0"/>
                <w:color w:val="auto"/>
                <w:sz w:val="20"/>
                <w:szCs w:val="20"/>
                <w:lang w:val="en-US" w:eastAsia="zh-CN"/>
              </w:rPr>
              <w:t>）</w:t>
            </w:r>
            <w:r>
              <w:rPr>
                <w:rStyle w:val="13"/>
                <w:rFonts w:hint="eastAsia" w:ascii="仿宋_GB2312" w:hAnsi="仿宋_GB2312" w:eastAsia="仿宋_GB2312" w:cs="仿宋_GB2312"/>
                <w:b w:val="0"/>
                <w:bCs w:val="0"/>
                <w:color w:val="auto"/>
                <w:sz w:val="20"/>
                <w:szCs w:val="20"/>
                <w:lang w:val="en-US" w:eastAsia="zh-CN"/>
              </w:rPr>
              <w:br w:type="textWrapping"/>
            </w:r>
            <w:r>
              <w:rPr>
                <w:rStyle w:val="13"/>
                <w:rFonts w:hint="eastAsia" w:ascii="仿宋_GB2312" w:hAnsi="仿宋_GB2312" w:eastAsia="仿宋_GB2312" w:cs="仿宋_GB2312"/>
                <w:b w:val="0"/>
                <w:bCs w:val="0"/>
                <w:color w:val="auto"/>
                <w:sz w:val="20"/>
                <w:szCs w:val="20"/>
                <w:lang w:val="en-US" w:eastAsia="zh-CN"/>
              </w:rPr>
              <w:t>《技术进出口合同登记管理办法》（商务部令2009年第3号）</w:t>
            </w:r>
          </w:p>
        </w:tc>
        <w:tc>
          <w:tcPr>
            <w:tcW w:w="808" w:type="dxa"/>
            <w:noWrap/>
            <w:vAlign w:val="center"/>
          </w:tcPr>
          <w:p>
            <w:pPr>
              <w:widowControl/>
              <w:wordWrap/>
              <w:adjustRightInd/>
              <w:snapToGrid/>
              <w:spacing w:before="0" w:beforeAutospacing="0" w:after="0" w:afterAutospacing="0" w:line="240" w:lineRule="exact"/>
              <w:ind w:left="0" w:right="0"/>
              <w:jc w:val="center"/>
              <w:textAlignment w:val="center"/>
              <w:rPr>
                <w:rStyle w:val="13"/>
                <w:rFonts w:ascii="Times New Roman" w:hAnsi="Times New Roman" w:eastAsia="仿宋_GB2312" w:cs="Times New Roman"/>
                <w:b w:val="0"/>
                <w:bCs w:val="0"/>
                <w:color w:val="auto"/>
                <w:sz w:val="20"/>
                <w:szCs w:val="20"/>
                <w:lang w:val="en-US" w:eastAsia="zh-CN"/>
              </w:rPr>
            </w:pPr>
            <w:r>
              <w:rPr>
                <w:rStyle w:val="13"/>
                <w:rFonts w:ascii="Times New Roman" w:hAnsi="Times New Roman" w:eastAsia="仿宋_GB2312" w:cs="Times New Roman"/>
                <w:b w:val="0"/>
                <w:bCs w:val="0"/>
                <w:color w:val="auto"/>
                <w:sz w:val="20"/>
                <w:szCs w:val="20"/>
                <w:lang w:val="en-US" w:eastAsia="zh-CN"/>
              </w:rPr>
              <w:t>服务贸易处</w:t>
            </w:r>
          </w:p>
        </w:tc>
        <w:tc>
          <w:tcPr>
            <w:tcW w:w="1007" w:type="dxa"/>
            <w:noWrap/>
            <w:vAlign w:val="center"/>
          </w:tcPr>
          <w:p>
            <w:pPr>
              <w:widowControl/>
              <w:wordWrap/>
              <w:adjustRightInd/>
              <w:snapToGrid/>
              <w:spacing w:before="0" w:beforeAutospacing="0" w:after="0" w:afterAutospacing="0" w:line="240" w:lineRule="exact"/>
              <w:ind w:left="0" w:right="0"/>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widowControl/>
              <w:wordWrap/>
              <w:adjustRightInd/>
              <w:snapToGrid/>
              <w:spacing w:before="0" w:beforeAutospacing="0" w:after="0" w:afterAutospacing="0" w:line="240" w:lineRule="exact"/>
              <w:ind w:left="0" w:right="0"/>
              <w:jc w:val="left"/>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557" w:hRule="atLeast"/>
          <w:jc w:val="center"/>
        </w:trPr>
        <w:tc>
          <w:tcPr>
            <w:tcW w:w="699"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Fonts w:ascii="Times New Roman" w:hAnsi="Times New Roman" w:eastAsia="仿宋_GB2312" w:cs="Times New Roman"/>
                <w:b w:val="0"/>
                <w:bCs w:val="0"/>
                <w:color w:val="auto"/>
                <w:kern w:val="0"/>
                <w:sz w:val="20"/>
                <w:szCs w:val="20"/>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其他类</w:t>
            </w:r>
          </w:p>
        </w:tc>
        <w:tc>
          <w:tcPr>
            <w:tcW w:w="1246"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3"/>
                <w:rFonts w:ascii="Times New Roman" w:hAnsi="Times New Roman" w:eastAsia="仿宋_GB2312" w:cs="Times New Roman"/>
                <w:b w:val="0"/>
                <w:bCs w:val="0"/>
                <w:color w:val="auto"/>
                <w:sz w:val="20"/>
                <w:szCs w:val="20"/>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援外项目实施企业资格认定初审</w:t>
            </w:r>
          </w:p>
        </w:tc>
        <w:tc>
          <w:tcPr>
            <w:tcW w:w="2389"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3"/>
                <w:rFonts w:hint="eastAsia" w:ascii="仿宋_GB2312" w:hAnsi="仿宋_GB2312" w:eastAsia="仿宋_GB2312" w:cs="仿宋_GB2312"/>
                <w:b w:val="0"/>
                <w:bCs w:val="0"/>
                <w:color w:val="auto"/>
                <w:sz w:val="20"/>
                <w:szCs w:val="20"/>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rPr>
              <w:fldChar w:fldCharType="begin"/>
            </w:r>
            <w:r>
              <w:rPr>
                <w:rFonts w:hint="eastAsia" w:ascii="仿宋_GB2312" w:hAnsi="仿宋_GB2312" w:eastAsia="仿宋_GB2312" w:cs="仿宋_GB2312"/>
                <w:b w:val="0"/>
                <w:bCs w:val="0"/>
                <w:color w:val="auto"/>
                <w:sz w:val="20"/>
                <w:szCs w:val="20"/>
              </w:rPr>
              <w:instrText xml:space="preserve">HYPERLINK "http://file.mofcom.gov.cn/article/gkml/201510/20151001151675.shtml"</w:instrText>
            </w: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rPr>
              <w:fldChar w:fldCharType="separate"/>
            </w: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rPr>
              <w:t>《对外援助项目实施企业资格认定办法（试行）》（商务部2015年第1号令）</w:t>
            </w: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rPr>
              <w:fldChar w:fldCharType="end"/>
            </w:r>
          </w:p>
        </w:tc>
        <w:tc>
          <w:tcPr>
            <w:tcW w:w="5532"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1.受理责任：公示告知应当提交的材料；一次性告知补正材料；依法受理或不予受理（不予受理的告知理由）。</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2.审查责任：对申请材料进行审查。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3.决定责任：在规定期限内</w:t>
            </w:r>
            <w:r>
              <w:rPr>
                <w:rFonts w:hint="eastAsia" w:ascii="仿宋_GB2312" w:hAnsi="仿宋_GB2312" w:eastAsia="仿宋_GB2312" w:cs="仿宋_GB2312"/>
                <w:b w:val="0"/>
                <w:bCs w:val="0"/>
                <w:color w:val="auto"/>
                <w:kern w:val="0"/>
                <w:sz w:val="20"/>
                <w:szCs w:val="20"/>
                <w:lang w:eastAsia="zh-CN"/>
              </w:rPr>
              <w:t>予以</w:t>
            </w:r>
            <w:r>
              <w:rPr>
                <w:rFonts w:hint="eastAsia" w:ascii="仿宋_GB2312" w:hAnsi="仿宋_GB2312" w:eastAsia="仿宋_GB2312" w:cs="仿宋_GB2312"/>
                <w:b w:val="0"/>
                <w:bCs w:val="0"/>
                <w:color w:val="auto"/>
                <w:kern w:val="0"/>
                <w:sz w:val="20"/>
                <w:szCs w:val="20"/>
              </w:rPr>
              <w:t>备案。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4.送达责任：在规定期限内制定并向申请人送达法律证件。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5.事后监督责任：开展定期和不定期监督检查。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0"/>
              <w:jc w:val="both"/>
              <w:textAlignment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6.其他法律法规规章文件规定应履行的责任。</w:t>
            </w:r>
          </w:p>
        </w:tc>
        <w:tc>
          <w:tcPr>
            <w:tcW w:w="2337"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3"/>
                <w:rFonts w:hint="eastAsia" w:ascii="仿宋_GB2312" w:hAnsi="仿宋_GB2312" w:eastAsia="仿宋_GB2312" w:cs="仿宋_GB2312"/>
                <w:b w:val="0"/>
                <w:bCs w:val="0"/>
                <w:color w:val="auto"/>
                <w:sz w:val="20"/>
                <w:szCs w:val="20"/>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rPr>
              <w:fldChar w:fldCharType="begin"/>
            </w:r>
            <w:r>
              <w:rPr>
                <w:rFonts w:hint="eastAsia" w:ascii="仿宋_GB2312" w:hAnsi="仿宋_GB2312" w:eastAsia="仿宋_GB2312" w:cs="仿宋_GB2312"/>
                <w:b w:val="0"/>
                <w:bCs w:val="0"/>
                <w:color w:val="auto"/>
                <w:sz w:val="20"/>
                <w:szCs w:val="20"/>
              </w:rPr>
              <w:instrText xml:space="preserve">HYPERLINK "http://file.mofcom.gov.cn/article/gkml/201510/20151001151675.shtml"</w:instrText>
            </w: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rPr>
              <w:fldChar w:fldCharType="separate"/>
            </w: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rPr>
              <w:t>《对外援助项目实施企业资格认定办法（试行）》（商务部2015年第1号令）</w:t>
            </w: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rPr>
              <w:fldChar w:fldCharType="end"/>
            </w:r>
          </w:p>
        </w:tc>
        <w:tc>
          <w:tcPr>
            <w:tcW w:w="808"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Style w:val="13"/>
                <w:rFonts w:ascii="Times New Roman" w:hAnsi="Times New Roman" w:eastAsia="仿宋_GB2312" w:cs="Times New Roman"/>
                <w:b w:val="0"/>
                <w:bCs w:val="0"/>
                <w:color w:val="auto"/>
                <w:sz w:val="20"/>
                <w:szCs w:val="20"/>
                <w:lang w:val="en-US" w:eastAsia="zh-CN"/>
              </w:rPr>
            </w:pPr>
            <w:r>
              <w:rPr>
                <w:rStyle w:val="13"/>
                <w:rFonts w:ascii="Times New Roman" w:hAnsi="Times New Roman" w:eastAsia="仿宋_GB2312" w:cs="Times New Roman"/>
                <w:b w:val="0"/>
                <w:bCs w:val="0"/>
                <w:color w:val="auto"/>
                <w:sz w:val="20"/>
                <w:szCs w:val="20"/>
                <w:lang w:val="en-US" w:eastAsia="zh-CN"/>
              </w:rPr>
              <w:t>外经处</w:t>
            </w:r>
          </w:p>
        </w:tc>
        <w:tc>
          <w:tcPr>
            <w:tcW w:w="1007"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both"/>
              <w:rPr>
                <w:rFonts w:ascii="Times New Roman" w:hAnsi="Times New Roman" w:eastAsia="仿宋_GB2312" w:cs="Times New Roman"/>
                <w:b w:val="0"/>
                <w:bCs w:val="0"/>
                <w:color w:val="auto"/>
                <w:sz w:val="20"/>
                <w:szCs w:val="20"/>
              </w:rPr>
            </w:pPr>
            <w:r>
              <w:rPr>
                <w:rFonts w:ascii="Times New Roman" w:hAnsi="Times New Roman" w:eastAsia="仿宋_GB2312" w:cs="Times New Roman"/>
                <w:b w:val="0"/>
                <w:bCs w:val="0"/>
                <w:color w:val="auto"/>
                <w:sz w:val="20"/>
                <w:szCs w:val="20"/>
              </w:rPr>
              <w:t>厅法定代表人及分管领导、内设机构负责人、具体承办人</w:t>
            </w:r>
          </w:p>
        </w:tc>
        <w:tc>
          <w:tcPr>
            <w:tcW w:w="862"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rPr>
                <w:rFonts w:ascii="Times New Roman" w:hAnsi="Times New Roman" w:eastAsia="仿宋_GB2312" w:cs="Times New Roman"/>
                <w:b w:val="0"/>
                <w:bCs w:val="0"/>
                <w:color w:val="auto"/>
                <w:kern w:val="0"/>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81" w:hRule="atLeast"/>
          <w:jc w:val="center"/>
        </w:trPr>
        <w:tc>
          <w:tcPr>
            <w:tcW w:w="699"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Fonts w:ascii="Times New Roman" w:hAnsi="Times New Roman" w:eastAsia="仿宋_GB2312" w:cs="Times New Roman"/>
                <w:b w:val="0"/>
                <w:bCs w:val="0"/>
                <w:color w:val="auto"/>
                <w:kern w:val="0"/>
                <w:sz w:val="20"/>
                <w:szCs w:val="20"/>
                <w:lang w:val="en-US" w:eastAsia="zh-CN"/>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其他类</w:t>
            </w:r>
          </w:p>
        </w:tc>
        <w:tc>
          <w:tcPr>
            <w:tcW w:w="1246"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对外援助项目咨询服务单位资格认定初核</w:t>
            </w:r>
          </w:p>
        </w:tc>
        <w:tc>
          <w:tcPr>
            <w:tcW w:w="2389"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t>《对外援助项目咨询服务单位资格认定办法》（国家国际发展合作署令2020年第4号）</w:t>
            </w:r>
          </w:p>
        </w:tc>
        <w:tc>
          <w:tcPr>
            <w:tcW w:w="5532"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t>1.受理责任：公示告知应当提交的材料；一次性告知补正材料；依法受理或不予受理（不予受理的告知理由）。</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t>2.审查责任：对申请材料进行审查。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t>3.决定责任：在规定期限内予以备案。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t>4.送达责任：在规定期限内制定并向申请人送达法律证件。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t>5.事后监督责任：开展定期和不定期监督检查。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t>6.其他法律法规规章文件规定应履行的责任。</w:t>
            </w:r>
          </w:p>
        </w:tc>
        <w:tc>
          <w:tcPr>
            <w:tcW w:w="2337"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pPr>
            <w:r>
              <w:rPr>
                <w:rStyle w:val="11"/>
                <w:rFonts w:hint="eastAsia" w:ascii="仿宋_GB2312" w:hAnsi="仿宋_GB2312" w:eastAsia="仿宋_GB2312" w:cs="仿宋_GB2312"/>
                <w:b w:val="0"/>
                <w:bCs w:val="0"/>
                <w:i w:val="0"/>
                <w:caps w:val="0"/>
                <w:smallCaps w:val="0"/>
                <w:color w:val="auto"/>
                <w:spacing w:val="0"/>
                <w:sz w:val="20"/>
                <w:szCs w:val="20"/>
                <w:u w:val="none"/>
                <w:shd w:val="clear" w:color="auto" w:fill="FFFFFF"/>
                <w:lang w:val="en-US" w:eastAsia="zh-CN"/>
              </w:rPr>
              <w:t>《对外援助项目咨询服务单位资格认定办法》（国家国际发展合作署令2020年第4号）</w:t>
            </w:r>
          </w:p>
        </w:tc>
        <w:tc>
          <w:tcPr>
            <w:tcW w:w="808"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外经处</w:t>
            </w:r>
          </w:p>
        </w:tc>
        <w:tc>
          <w:tcPr>
            <w:tcW w:w="1007"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textAlignment w:val="cente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pPr>
            <w:r>
              <w:rPr>
                <w:rStyle w:val="11"/>
                <w:rFonts w:ascii="Times New Roman" w:hAnsi="Times New Roman" w:eastAsia="仿宋_GB2312" w:cs="Times New Roman"/>
                <w:b w:val="0"/>
                <w:bCs w:val="0"/>
                <w:i w:val="0"/>
                <w:caps w:val="0"/>
                <w:smallCaps w:val="0"/>
                <w:color w:val="auto"/>
                <w:spacing w:val="0"/>
                <w:sz w:val="20"/>
                <w:szCs w:val="20"/>
                <w:u w:val="none"/>
                <w:shd w:val="clear" w:color="auto" w:fill="FFFFFF"/>
                <w:lang w:val="en-US" w:eastAsia="zh-CN"/>
              </w:rPr>
              <w:t>厅法定代表人及分管领导、内设机构负责人、具体承办人</w:t>
            </w:r>
          </w:p>
        </w:tc>
        <w:tc>
          <w:tcPr>
            <w:tcW w:w="862" w:type="dxa"/>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0"/>
              <w:jc w:val="both"/>
              <w:rPr>
                <w:rFonts w:ascii="Times New Roman" w:hAnsi="Times New Roman" w:eastAsia="仿宋_GB2312" w:cs="Times New Roman"/>
                <w:b w:val="0"/>
                <w:bCs w:val="0"/>
                <w:color w:val="auto"/>
                <w:kern w:val="0"/>
                <w:sz w:val="20"/>
                <w:szCs w:val="20"/>
                <w:lang w:val="en-US" w:eastAsia="zh-CN"/>
              </w:rPr>
            </w:pPr>
          </w:p>
        </w:tc>
      </w:tr>
    </w:tbl>
    <w:p>
      <w:pPr>
        <w:pStyle w:val="2"/>
        <w:rPr>
          <w:color w:val="000000"/>
        </w:rPr>
      </w:pPr>
    </w:p>
    <w:sectPr>
      <w:footerReference r:id="rId3" w:type="default"/>
      <w:pgSz w:w="16840" w:h="11907" w:orient="landscape"/>
      <w:pgMar w:top="1474" w:right="1985" w:bottom="1361" w:left="1985" w:header="851" w:footer="992" w:gutter="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57150" cy="131559"/>
                      </a:xfrm>
                      <a:prstGeom prst="rect">
                        <a:avLst/>
                      </a:prstGeom>
                      <a:noFill/>
                      <a:ln w="6350" cap="flat" cmpd="sng">
                        <a:noFill/>
                        <a:prstDash val="solid"/>
                        <a:round/>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KmL89UAAAAC&#10;AQAADwAAAAAAAAABACAAAAAiAAAAZHJzL2Rvd25yZXYueG1sUEsBAhQAFAAAAAgAh07iQI0ziujm&#10;AQAApQMAAA4AAAAAAAAAAQAgAAAAJAEAAGRycy9lMm9Eb2MueG1sUEsFBgAAAAAGAAYAWQEAAHwF&#10;AAAAAA==&#10;">
              <v:fill on="f" focussize="0,0"/>
              <v:stroke on="f" weight="0.5pt" joinstyle="round"/>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904A"/>
    <w:multiLevelType w:val="multilevel"/>
    <w:tmpl w:val="2415904A"/>
    <w:lvl w:ilvl="0" w:tentative="0">
      <w:start w:val="1"/>
      <w:numFmt w:val="decimal"/>
      <w:lvlText w:val=" %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2EC2D47"/>
    <w:rsid w:val="03021439"/>
    <w:rsid w:val="04C06EF1"/>
    <w:rsid w:val="079D2B96"/>
    <w:rsid w:val="090F2367"/>
    <w:rsid w:val="0B3539F1"/>
    <w:rsid w:val="10114FC6"/>
    <w:rsid w:val="11555594"/>
    <w:rsid w:val="1C280AA4"/>
    <w:rsid w:val="1C961118"/>
    <w:rsid w:val="1E37638A"/>
    <w:rsid w:val="21BB2B70"/>
    <w:rsid w:val="255B5DAF"/>
    <w:rsid w:val="280A2ABC"/>
    <w:rsid w:val="3A3F6AC3"/>
    <w:rsid w:val="3FC504AE"/>
    <w:rsid w:val="4D772F5C"/>
    <w:rsid w:val="53E3296C"/>
    <w:rsid w:val="59EF39CC"/>
    <w:rsid w:val="5D9202F7"/>
    <w:rsid w:val="5DBC183A"/>
    <w:rsid w:val="5FA62037"/>
    <w:rsid w:val="635A01BF"/>
    <w:rsid w:val="69281199"/>
    <w:rsid w:val="6A205F5F"/>
    <w:rsid w:val="6BE5096E"/>
    <w:rsid w:val="737C590E"/>
    <w:rsid w:val="75476796"/>
    <w:rsid w:val="796F2A83"/>
    <w:rsid w:val="799F4B15"/>
    <w:rsid w:val="7A4063B1"/>
    <w:rsid w:val="7E353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character" w:styleId="11">
    <w:name w:val="Hyperlink"/>
    <w:qFormat/>
    <w:uiPriority w:val="0"/>
    <w:rPr>
      <w:color w:val="0000FF"/>
      <w:u w:val="single"/>
    </w:rPr>
  </w:style>
  <w:style w:type="paragraph" w:customStyle="1" w:styleId="12">
    <w:name w:val="Char1 Char Char Char"/>
    <w:basedOn w:val="1"/>
    <w:qFormat/>
    <w:uiPriority w:val="0"/>
  </w:style>
  <w:style w:type="character" w:customStyle="1" w:styleId="13">
    <w:name w:val="font81"/>
    <w:qFormat/>
    <w:uiPriority w:val="0"/>
    <w:rPr>
      <w:rFonts w:ascii="宋体" w:eastAsia="宋体" w:cs="宋体"/>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9873</Words>
  <Characters>10316</Characters>
  <Lines>810</Lines>
  <Paragraphs>194</Paragraphs>
  <TotalTime>106</TotalTime>
  <ScaleCrop>false</ScaleCrop>
  <LinksUpToDate>false</LinksUpToDate>
  <CharactersWithSpaces>10472</CharactersWithSpaces>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2019-10-31T13:13:00Z</dcterms:created>
  <dc:creator>圆圆</dc:creator>
  <cp:lastModifiedBy>张柳</cp:lastModifiedBy>
  <cp:lastPrinted>2022-10-27T07:14:00Z</cp:lastPrinted>
  <dcterms:modified xsi:type="dcterms:W3CDTF">2022-10-27T08:43:26Z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BD1B2E22577E4C7EA6B89D829735BED9</vt:lpwstr>
  </property>
</Properties>
</file>